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eastAsia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pacing w:val="20"/>
          <w:sz w:val="28"/>
          <w:szCs w:val="28"/>
        </w:rPr>
        <w:t xml:space="preserve">ПРОЕКТ</w:t>
      </w:r>
      <w:r>
        <w:rPr>
          <w:rFonts w:ascii="Times New Roman" w:hAnsi="Times New Roman" w:eastAsia="Times New Roman" w:cs="Times New Roman"/>
          <w:b/>
          <w:spacing w:val="20"/>
          <w:sz w:val="28"/>
          <w:szCs w:val="28"/>
        </w:rPr>
      </w:r>
      <w:r>
        <w:rPr>
          <w:rFonts w:ascii="Times New Roman" w:hAnsi="Times New Roman" w:eastAsia="Times New Roman" w:cs="Times New Roman"/>
          <w:b/>
          <w:spacing w:val="2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0"/>
          <w:sz w:val="28"/>
          <w:szCs w:val="28"/>
        </w:rPr>
      </w:pPr>
      <w:r>
        <w:rPr>
          <w:rFonts w:ascii="Times New Roman" w:hAnsi="Times New Roman" w:eastAsia="Times New Roman" w:cs="Times New Roman"/>
          <w:spacing w:val="20"/>
          <w:sz w:val="28"/>
          <w:szCs w:val="28"/>
        </w:rPr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0"/>
          <w:sz w:val="28"/>
          <w:szCs w:val="28"/>
        </w:rPr>
      </w:pPr>
      <w:r>
        <w:rPr>
          <w:rFonts w:ascii="Times New Roman" w:hAnsi="Times New Roman" w:eastAsia="Times New Roman" w:cs="Times New Roman"/>
          <w:spacing w:val="20"/>
          <w:sz w:val="28"/>
          <w:szCs w:val="28"/>
        </w:rPr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0"/>
          <w:sz w:val="28"/>
          <w:szCs w:val="28"/>
        </w:rPr>
      </w:pPr>
      <w:r>
        <w:rPr>
          <w:rFonts w:ascii="Times New Roman" w:hAnsi="Times New Roman" w:eastAsia="Times New Roman" w:cs="Times New Roman"/>
          <w:spacing w:val="20"/>
          <w:sz w:val="28"/>
          <w:szCs w:val="28"/>
        </w:rPr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0"/>
          <w:sz w:val="28"/>
          <w:szCs w:val="28"/>
        </w:rPr>
      </w:pPr>
      <w:r>
        <w:rPr>
          <w:rFonts w:ascii="Times New Roman" w:hAnsi="Times New Roman" w:eastAsia="Times New Roman" w:cs="Times New Roman"/>
          <w:spacing w:val="20"/>
          <w:sz w:val="28"/>
          <w:szCs w:val="28"/>
        </w:rPr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pacing w:val="20"/>
          <w:sz w:val="28"/>
          <w:szCs w:val="28"/>
        </w:rPr>
      </w:pPr>
      <w:r>
        <w:rPr>
          <w:rFonts w:ascii="Times New Roman" w:hAnsi="Times New Roman" w:eastAsia="Times New Roman" w:cs="Times New Roman"/>
          <w:spacing w:val="20"/>
          <w:sz w:val="28"/>
          <w:szCs w:val="28"/>
        </w:rPr>
        <w:t xml:space="preserve">ПРИКАЗ</w:t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</w:r>
      <w:r>
        <w:rPr>
          <w:rFonts w:ascii="Times New Roman" w:hAnsi="Times New Roman" w:eastAsia="Times New Roman" w:cs="Times New Roman"/>
          <w:spacing w:val="20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tbl>
      <w:tblPr>
        <w:tblStyle w:val="835"/>
        <w:tblW w:w="4995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0"/>
        <w:gridCol w:w="4781"/>
      </w:tblGrid>
      <w:tr>
        <w:tblPrEx/>
        <w:trPr/>
        <w:tc>
          <w:tcPr>
            <w:tcW w:w="2500" w:type="pct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«___» __________ 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00" w:type="pct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______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г. Ижевск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Об утверждении доклада о правоприменительной практике осуществления федерального государственного охотничьего контроля (надзора)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 соответствии с Фе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деральным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законом от 31 июля 2020 года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постановлением Правительства Российской Федерации от 30 июня 2021 года № 1065 «О федеральном государственном охотничьем контроле (надзоре)»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р и к а з ы в а ю: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Утвердить доклад о правоприменительной практике осуществления федерального государственного охотничьего контроля (надзора).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Настоящий приказ разместить на официальном сайте Министерства природных ресурсов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 охраны окружающей среды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Удмуртской Республики в сети «Интернет».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Контро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ль за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исполнением настоящего при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каза оставляю за собой.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tbl>
      <w:tblPr>
        <w:tblStyle w:val="840"/>
        <w:tblW w:w="4995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80"/>
        <w:gridCol w:w="4781"/>
      </w:tblGrid>
      <w:tr>
        <w:tblPrEx/>
        <w:trPr>
          <w:trHeight w:val="800"/>
        </w:trPr>
        <w:tc>
          <w:tcPr>
            <w:tcW w:w="2500" w:type="pct"/>
            <w:vAlign w:val="bottom"/>
            <w:textDirection w:val="lrTb"/>
            <w:noWrap w:val="false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министра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500" w:type="pct"/>
            <w:vAlign w:val="bottom"/>
            <w:textDirection w:val="lrTb"/>
            <w:noWrap w:val="false"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Р.Ф. Аснанова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bookmarkStart w:id="0" w:name="_GoBack"/>
            <w:r/>
            <w:bookmarkEnd w:id="0"/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Утвержден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приказом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Министерства природных ресурсов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 охраны окружающей среды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Удмуртской Республики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709"/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от «____» ________2025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года № _______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Доклад о правоприменительной практике осуществления федерального государственного охотничьего контроля (надзора)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Обзор правоприменитель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ной практики подготовлен за 2024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год по результатам осуществления федерального государственного охотничьего контроля (надзора).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Исполнение государственной функции по осуществлению федерального государственного охотничьего контроля (надзора) возложено Федеральны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м законом от 24 июля 2009 года №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209-ФЗ «Об охоте и о сохранении охотничьих ресурсов и о внесении изменений в отдельные законодательные акты Российской Федерации», постановлением Правительства Удмуртской Респу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блики от 26 декабря 2017 года №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554 «О Министерстве природных ресурсов и охраны окружающей среды Удмуртской Республики», на Министерство природных ресурсов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и охраны окружающей среды Удмуртской Республики (далее — Министерство).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по сохранению охотничьих ресурсов на территории Удмур</w:t>
      </w:r>
      <w:r>
        <w:rPr>
          <w:rFonts w:ascii="Times New Roman" w:hAnsi="Times New Roman" w:cs="Times New Roman"/>
          <w:sz w:val="28"/>
          <w:szCs w:val="28"/>
        </w:rPr>
        <w:t xml:space="preserve">тской Республики осуществляют 66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государственных охотничьих инспектора Министерства. Структура Управления охраны и использования объектов животного мира состоит </w:t>
      </w:r>
      <w:r>
        <w:rPr>
          <w:rFonts w:ascii="Times New Roman" w:hAnsi="Times New Roman" w:cs="Times New Roman"/>
          <w:sz w:val="28"/>
          <w:szCs w:val="28"/>
        </w:rPr>
        <w:t xml:space="preserve">из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отдела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(надзора), охраны и мониторинга объектов животного мира, организации и регулирования рыболовства;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секто</w:t>
      </w:r>
      <w:r>
        <w:rPr>
          <w:rFonts w:ascii="Times New Roman" w:hAnsi="Times New Roman" w:cs="Times New Roman"/>
          <w:sz w:val="28"/>
          <w:szCs w:val="28"/>
        </w:rPr>
        <w:t xml:space="preserve">ра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использования объектов животного мира и разрешительной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- 6-ти межрайонных отделов государственного контроля (надзора) за использованием объектов животного мира и среды их обитания;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общее </w:t>
      </w:r>
      <w:r>
        <w:rPr>
          <w:rFonts w:ascii="Times New Roman" w:hAnsi="Times New Roman" w:cs="Times New Roman"/>
          <w:sz w:val="28"/>
          <w:szCs w:val="28"/>
        </w:rPr>
        <w:t xml:space="preserve">количество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зарегистрированных в Удмуртии охотников составляет 36 тысяч 912 человек.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2024 году </w:t>
      </w:r>
      <w:r>
        <w:rPr>
          <w:rFonts w:ascii="Times New Roman" w:hAnsi="Times New Roman" w:cs="Times New Roman"/>
          <w:sz w:val="28"/>
          <w:szCs w:val="28"/>
        </w:rPr>
        <w:t xml:space="preserve">охотинспекторами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проведено более 4 тысяч рейдов, в</w:t>
      </w:r>
      <w:r>
        <w:rPr>
          <w:rFonts w:ascii="Times New Roman" w:hAnsi="Times New Roman" w:cs="Times New Roman"/>
          <w:sz w:val="28"/>
          <w:szCs w:val="28"/>
        </w:rPr>
        <w:t xml:space="preserve"> том числе </w:t>
      </w:r>
      <w:r>
        <w:rPr>
          <w:rFonts w:ascii="Times New Roman" w:hAnsi="Times New Roman" w:cs="Times New Roman"/>
          <w:sz w:val="28"/>
          <w:szCs w:val="28"/>
        </w:rPr>
        <w:t xml:space="preserve">оперативно-профилактических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совместно с полицией, Управлением </w:t>
      </w:r>
      <w:r>
        <w:rPr>
          <w:rFonts w:ascii="Times New Roman" w:hAnsi="Times New Roman" w:cs="Times New Roman"/>
          <w:sz w:val="28"/>
          <w:szCs w:val="28"/>
        </w:rPr>
        <w:t xml:space="preserve">Росгвардии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озбуждено </w:t>
      </w:r>
      <w:r>
        <w:rPr>
          <w:rFonts w:ascii="Times New Roman" w:hAnsi="Times New Roman" w:cs="Times New Roman"/>
          <w:sz w:val="28"/>
          <w:szCs w:val="28"/>
        </w:rPr>
        <w:t xml:space="preserve">501 </w:t>
      </w:r>
      <w:r>
        <w:rPr>
          <w:rFonts w:ascii="Times New Roman" w:hAnsi="Times New Roman" w:cs="Times New Roman"/>
          <w:sz w:val="28"/>
          <w:szCs w:val="28"/>
        </w:rPr>
        <w:t xml:space="preserve">дело об административных правонарушениях. Предъявлено исковых требований по фактам причинения вреда охотничьим ресурсам н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сумму </w:t>
      </w:r>
      <w:r>
        <w:rPr>
          <w:rFonts w:ascii="Times New Roman" w:hAnsi="Times New Roman" w:cs="Times New Roman"/>
          <w:sz w:val="28"/>
          <w:szCs w:val="28"/>
        </w:rPr>
        <w:t xml:space="preserve">десять млн. двести тыс. руб. Взыскано исковых требований по фактам причинения вреда охотничьим ресурсам на сумму восемь млн. триста тыс. руб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грубое нарушение законодательства в </w:t>
      </w:r>
      <w:r>
        <w:rPr>
          <w:rFonts w:ascii="Times New Roman" w:hAnsi="Times New Roman" w:cs="Times New Roman"/>
          <w:sz w:val="28"/>
          <w:szCs w:val="28"/>
        </w:rPr>
        <w:t xml:space="preserve">области охоты 10 граждан лишены права осуществлять охоту.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Изъято 19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единиц охотничьего огнестрельного оружия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2024</w:t>
      </w:r>
      <w:r>
        <w:rPr>
          <w:rFonts w:ascii="Times New Roman" w:hAnsi="Times New Roman" w:cs="Times New Roman"/>
          <w:sz w:val="28"/>
          <w:szCs w:val="28"/>
        </w:rPr>
        <w:t xml:space="preserve"> году зарегистрирована гибель 32 лосей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незак</w:t>
      </w:r>
      <w:r>
        <w:rPr>
          <w:rFonts w:ascii="Times New Roman" w:hAnsi="Times New Roman" w:cs="Times New Roman"/>
          <w:sz w:val="28"/>
          <w:szCs w:val="28"/>
        </w:rPr>
        <w:t xml:space="preserve">онной охоты. </w:t>
      </w:r>
      <w:r>
        <w:rPr>
          <w:rFonts w:ascii="Times New Roman" w:hAnsi="Times New Roman" w:cs="Times New Roman"/>
          <w:sz w:val="28"/>
          <w:szCs w:val="28"/>
        </w:rPr>
        <w:t xml:space="preserve">Всего возбуждено 16 уголовных дел, что на 42% меньше по сравнению с показателями прошлого года.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contextualSpacing/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соглашения о межведомственном взаимодействии в 2024 году в </w:t>
      </w:r>
      <w:r>
        <w:rPr>
          <w:rFonts w:ascii="Times New Roman" w:hAnsi="Times New Roman" w:cs="Times New Roman"/>
          <w:sz w:val="28"/>
          <w:szCs w:val="28"/>
        </w:rPr>
        <w:t xml:space="preserve">Росгвардию</w:t>
      </w:r>
      <w:r>
        <w:rPr>
          <w:rFonts w:ascii="Times New Roman" w:hAnsi="Times New Roman" w:cs="Times New Roman"/>
          <w:sz w:val="28"/>
          <w:szCs w:val="28"/>
        </w:rPr>
        <w:t xml:space="preserve"> направлено 202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материала</w:t>
      </w:r>
      <w:r>
        <w:rPr>
          <w:rFonts w:ascii="Times New Roman" w:hAnsi="Times New Roman" w:cs="Times New Roman"/>
          <w:sz w:val="28"/>
          <w:szCs w:val="28"/>
        </w:rPr>
        <w:t xml:space="preserve"> по признакам нарушения правил охоты охотниками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решения об аннулировании разрешения на хранение оружия.</w:t>
      </w:r>
      <w:r>
        <w:rPr>
          <w:rFonts w:ascii="Times New Roman" w:hAnsi="Times New Roman" w:cs="Times New Roman"/>
          <w:sz w:val="28"/>
          <w:szCs w:val="28"/>
        </w:rPr>
        <w:t xml:space="preserve"> Также </w:t>
      </w:r>
      <w:r>
        <w:rPr>
          <w:rFonts w:ascii="Times New Roman" w:hAnsi="Times New Roman" w:cs="Times New Roman"/>
          <w:sz w:val="28"/>
          <w:szCs w:val="28"/>
        </w:rPr>
        <w:t xml:space="preserve">за несвоевременную сдачу сведений по охоте в 2024 году ограничены в выдаче разрешений на добычу </w:t>
      </w:r>
      <w:r>
        <w:rPr>
          <w:rFonts w:ascii="Times New Roman" w:hAnsi="Times New Roman" w:cs="Times New Roman"/>
          <w:sz w:val="28"/>
          <w:szCs w:val="28"/>
        </w:rPr>
        <w:t xml:space="preserve">охотничьих ресурсов 277 охотников</w:t>
      </w:r>
      <w:r>
        <w:rPr>
          <w:rFonts w:ascii="Times New Roman" w:hAnsi="Times New Roman" w:cs="Times New Roman"/>
          <w:sz w:val="28"/>
          <w:szCs w:val="28"/>
        </w:rPr>
        <w:t xml:space="preserve"> сроком на один год с привлечением их к административной ответственности.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Во исполнение Федерального закона от 31.07.2020 №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248-ФЗ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«О государственном контроле (надзоре) и муниципальном контроле в Российской Федерации» на официальном сайте Министерства размещены: перечни нормативных правовых актов, содержащих обязательные требования, оценка соблюдения которых является предметом фед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ерального государственного охотничьего надзора; руководство по соблюдению обязательных требований, выполнение которых оценивается при проведении государственного надзора; программа профилактики рисков причинения вреда (ущерба) охраняемым законом ценностям.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 соответствии со ст. 50 Федерального закона о государственном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контроле в рамках профилактических мероприятий должностными лицами Министерства осуществляется консультирование (разъяснения) по вопросам, связанным с организацией и осуществлением государственного контроля (надзора).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r/>
      <w:r/>
    </w:p>
    <w:p>
      <w:pPr>
        <w:jc w:val="center"/>
      </w:pPr>
      <w:r>
        <w:t xml:space="preserve">_____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pPr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3">
    <w:name w:val="Hyperlink"/>
    <w:uiPriority w:val="99"/>
    <w:unhideWhenUsed/>
    <w:rPr>
      <w:color w:val="0000ff" w:themeColor="hyperlink"/>
      <w:u w:val="single"/>
    </w:r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table" w:styleId="835" w:customStyle="1">
    <w:name w:val="Сетка таблицы11"/>
    <w:basedOn w:val="833"/>
    <w:next w:val="836"/>
    <w:uiPriority w:val="39"/>
    <w:pPr>
      <w:spacing w:after="0" w:line="240" w:lineRule="auto"/>
    </w:pPr>
    <w:rPr>
      <w:rFonts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6">
    <w:name w:val="Table Grid"/>
    <w:basedOn w:val="83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37" w:customStyle="1">
    <w:name w:val="Сетка таблицы111"/>
    <w:basedOn w:val="833"/>
    <w:next w:val="836"/>
    <w:uiPriority w:val="39"/>
    <w:pPr>
      <w:spacing w:after="0" w:line="240" w:lineRule="auto"/>
    </w:pPr>
    <w:rPr>
      <w:rFonts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38">
    <w:name w:val="Balloon Text"/>
    <w:basedOn w:val="831"/>
    <w:link w:val="83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9" w:customStyle="1">
    <w:name w:val="Текст выноски Знак"/>
    <w:basedOn w:val="832"/>
    <w:link w:val="838"/>
    <w:uiPriority w:val="99"/>
    <w:semiHidden/>
    <w:rPr>
      <w:rFonts w:ascii="Tahoma" w:hAnsi="Tahoma" w:cs="Tahoma"/>
      <w:sz w:val="16"/>
      <w:szCs w:val="16"/>
    </w:rPr>
  </w:style>
  <w:style w:type="table" w:styleId="840" w:customStyle="1">
    <w:name w:val="Сетка таблицы1111"/>
    <w:basedOn w:val="833"/>
    <w:next w:val="836"/>
    <w:uiPriority w:val="39"/>
    <w:pPr>
      <w:spacing w:after="0" w:line="240" w:lineRule="auto"/>
    </w:pPr>
    <w:rPr>
      <w:rFonts w:eastAsia="Times New Roman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 Олег Вячеславович</dc:creator>
  <cp:keywords/>
  <dc:description/>
  <cp:lastModifiedBy>adamov_is</cp:lastModifiedBy>
  <cp:revision>16</cp:revision>
  <dcterms:created xsi:type="dcterms:W3CDTF">2024-03-13T07:47:00Z</dcterms:created>
  <dcterms:modified xsi:type="dcterms:W3CDTF">2025-03-10T11:14:33Z</dcterms:modified>
</cp:coreProperties>
</file>