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01"/>
        <w:contextualSpacing/>
        <w:jc w:val="right"/>
      </w:pPr>
      <w:r>
        <w:tab/>
        <w:tab/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2" behindDoc="1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196850</wp:posOffset>
                </wp:positionV>
                <wp:extent cx="2298700" cy="383540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298700" cy="383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001"/>
                              <w:rPr>
                                <w:i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1f497d"/>
                                <w:sz w:val="24"/>
                                <w:szCs w:val="24"/>
                              </w:rPr>
                            </w:r>
                            <w:r/>
                          </w:p>
                          <w:p>
                            <w:pPr>
                              <w:pStyle w:val="100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-250609662;o:allowoverlap:true;o:allowincell:true;mso-position-horizontal-relative:text;margin-left:289.3pt;mso-position-horizontal:absolute;mso-position-vertical-relative:text;margin-top:15.5pt;mso-position-vertical:absolute;width:181.0pt;height:30.2pt;mso-wrap-distance-left:9.0pt;mso-wrap-distance-top:0.0pt;mso-wrap-distance-right:9.0pt;mso-wrap-distance-bottom:0.0pt;visibility:visible;" fillcolor="#FFFFFF" strokecolor="#FFFFFF">
                <v:textbox inset="0,0,0,0">
                  <w:txbxContent>
                    <w:p>
                      <w:pPr>
                        <w:pStyle w:val="1001"/>
                        <w:rPr>
                          <w:i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1f497d"/>
                          <w:sz w:val="24"/>
                          <w:szCs w:val="24"/>
                        </w:rPr>
                      </w:r>
                      <w:r/>
                    </w:p>
                    <w:p>
                      <w:pPr>
                        <w:pStyle w:val="100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Проект</w:t>
      </w:r>
      <w:r/>
    </w:p>
    <w:p>
      <w:pPr>
        <w:pStyle w:val="1001"/>
        <w:contextualSpacing/>
        <w:tabs>
          <w:tab w:val="left" w:pos="6147" w:leader="none"/>
        </w:tabs>
      </w:pPr>
      <w:r>
        <w:tab/>
      </w:r>
      <w:r/>
    </w:p>
    <w:p>
      <w:pPr>
        <w:pStyle w:val="1001"/>
        <w:contextualSpacing/>
        <w:jc w:val="right"/>
      </w:pPr>
      <w:r/>
      <w:r/>
    </w:p>
    <w:p>
      <w:pPr>
        <w:pStyle w:val="1001"/>
        <w:contextualSpacing/>
        <w:jc w:val="center"/>
        <w:widowControl w:val="off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ПРАВИТЕЛЬСТВО УДМУРТСКОЙ РЕСПУБЛИКИ</w:t>
      </w:r>
      <w:r>
        <w:rPr>
          <w:rFonts w:eastAsia="Times New Roman"/>
          <w:b/>
          <w:lang w:eastAsia="ru-RU"/>
        </w:rPr>
      </w:r>
      <w:r/>
    </w:p>
    <w:p>
      <w:pPr>
        <w:pStyle w:val="1001"/>
        <w:contextualSpacing/>
        <w:jc w:val="center"/>
        <w:rPr>
          <w:b/>
        </w:rPr>
      </w:pPr>
      <w:r>
        <w:rPr>
          <w:b/>
        </w:rPr>
        <w:t xml:space="preserve">ПОСТАНОВЛЕНИЕ</w:t>
      </w:r>
      <w:r>
        <w:rPr>
          <w:b/>
        </w:rPr>
      </w:r>
      <w:r/>
    </w:p>
    <w:p>
      <w:pPr>
        <w:pStyle w:val="1001"/>
        <w:contextualSpacing/>
        <w:jc w:val="center"/>
        <w:rPr>
          <w:b/>
        </w:rPr>
      </w:pPr>
      <w:r>
        <w:rPr>
          <w:b/>
        </w:rPr>
      </w:r>
      <w:r/>
    </w:p>
    <w:p>
      <w:pPr>
        <w:pStyle w:val="1001"/>
        <w:jc w:val="center"/>
      </w:pPr>
      <w:r/>
      <w:r/>
    </w:p>
    <w:p>
      <w:pPr>
        <w:pStyle w:val="1001"/>
      </w:pPr>
      <w:r>
        <w:t xml:space="preserve">от «___»_______ 20__ года </w:t>
        <w:tab/>
        <w:tab/>
        <w:tab/>
        <w:tab/>
        <w:tab/>
        <w:tab/>
        <w:tab/>
        <w:tab/>
        <w:t xml:space="preserve"> № ___</w:t>
      </w:r>
      <w:r/>
    </w:p>
    <w:p>
      <w:pPr>
        <w:pStyle w:val="1001"/>
        <w:contextualSpacing/>
        <w:rPr>
          <w:b/>
        </w:rPr>
      </w:pPr>
      <w:r>
        <w:rPr>
          <w:b/>
        </w:rPr>
      </w:r>
      <w:r/>
    </w:p>
    <w:p>
      <w:pPr>
        <w:pStyle w:val="1001"/>
        <w:contextualSpacing/>
        <w:jc w:val="center"/>
        <w:rPr>
          <w:b/>
        </w:rPr>
      </w:pPr>
      <w:r>
        <w:t xml:space="preserve">г. Ижевск</w:t>
      </w:r>
      <w:r>
        <w:rPr>
          <w:b/>
        </w:rPr>
      </w:r>
      <w:r/>
    </w:p>
    <w:p>
      <w:pPr>
        <w:pStyle w:val="1001"/>
        <w:contextualSpacing/>
        <w:jc w:val="center"/>
        <w:rPr>
          <w:b/>
        </w:rPr>
      </w:pPr>
      <w:r>
        <w:rPr>
          <w:b/>
        </w:rPr>
      </w:r>
      <w:r/>
    </w:p>
    <w:p>
      <w:pPr>
        <w:pStyle w:val="1001"/>
        <w:contextualSpacing/>
        <w:jc w:val="center"/>
        <w:rPr>
          <w:b/>
        </w:rPr>
      </w:pPr>
      <w:r>
        <w:rPr>
          <w:b/>
        </w:rPr>
      </w:r>
      <w:r/>
    </w:p>
    <w:p>
      <w:pPr>
        <w:pStyle w:val="1059"/>
        <w:jc w:val="center"/>
        <w:widowControl/>
      </w:pPr>
      <w:r>
        <w:rPr>
          <w:b w:val="0"/>
        </w:rPr>
        <w:fldChar w:fldCharType="begin"/>
      </w:r>
      <w:r>
        <w:rPr>
          <w:b w:val="0"/>
        </w:rPr>
        <w:instrText xml:space="preserve"> DOCPROPERTY "Полное название проекта" \* MERGEFORMAT </w:instrText>
      </w:r>
      <w:r>
        <w:rPr>
          <w:b w:val="0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 xml:space="preserve">О памятнике природы регионального значения </w:t>
      </w:r>
      <w:r/>
    </w:p>
    <w:p>
      <w:pPr>
        <w:pStyle w:val="1001"/>
        <w:contextualSpacing/>
        <w:jc w:val="center"/>
        <w:rPr>
          <w:b/>
        </w:rPr>
      </w:pPr>
      <w:r>
        <w:rPr>
          <w:rFonts w:eastAsia="Times New Roman"/>
          <w:b/>
          <w:bCs/>
          <w:lang w:eastAsia="ru-RU"/>
        </w:rPr>
        <w:t xml:space="preserve">«Юровский мыс»</w:t>
      </w:r>
      <w:r>
        <w:rPr>
          <w:b/>
        </w:rPr>
        <w:fldChar w:fldCharType="end"/>
      </w:r>
      <w:r>
        <w:rPr>
          <w:b/>
        </w:rPr>
        <w:t xml:space="preserve"> </w:t>
      </w:r>
      <w:r>
        <w:rPr>
          <w:b/>
        </w:rPr>
        <w:t xml:space="preserve"> </w:t>
      </w:r>
      <w:r>
        <w:rPr>
          <w:b/>
        </w:rPr>
      </w:r>
      <w:r/>
    </w:p>
    <w:p>
      <w:pPr>
        <w:pStyle w:val="1001"/>
        <w:contextualSpacing/>
        <w:jc w:val="center"/>
        <w:rPr>
          <w:b/>
        </w:rPr>
      </w:pPr>
      <w:r>
        <w:rPr>
          <w:b/>
        </w:rPr>
      </w:r>
      <w:r/>
    </w:p>
    <w:p>
      <w:pPr>
        <w:pStyle w:val="1001"/>
        <w:contextualSpacing/>
        <w:jc w:val="center"/>
        <w:rPr>
          <w:b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59" behindDoc="1" locked="0" layoutInCell="1" allowOverlap="1">
                <wp:simplePos x="0" y="0"/>
                <wp:positionH relativeFrom="column">
                  <wp:posOffset>6113780</wp:posOffset>
                </wp:positionH>
                <wp:positionV relativeFrom="paragraph">
                  <wp:posOffset>115570</wp:posOffset>
                </wp:positionV>
                <wp:extent cx="460375" cy="254000"/>
                <wp:effectExtent l="0" t="0" r="0" b="0"/>
                <wp:wrapNone/>
                <wp:docPr id="2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603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001"/>
                              <w:ind w:left="-142" w:right="-139"/>
                              <w:rPr>
                                <w:i/>
                                <w:color w:val="1f49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1f497d"/>
                                <w:sz w:val="16"/>
                                <w:szCs w:val="16"/>
                              </w:rPr>
                            </w:r>
                            <w:r/>
                          </w:p>
                          <w:p>
                            <w:pPr>
                              <w:pStyle w:val="100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-250609659;o:allowoverlap:true;o:allowincell:true;mso-position-horizontal-relative:text;margin-left:481.4pt;mso-position-horizontal:absolute;mso-position-vertical-relative:text;margin-top:9.1pt;mso-position-vertical:absolute;width:36.2pt;height:20.0pt;mso-wrap-distance-left:9.0pt;mso-wrap-distance-top:0.0pt;mso-wrap-distance-right:9.0pt;mso-wrap-distance-bottom:0.0pt;visibility:visible;" fillcolor="#FFFFFF" strokecolor="#FFFFFF">
                <v:textbox inset="0,0,0,0">
                  <w:txbxContent>
                    <w:p>
                      <w:pPr>
                        <w:pStyle w:val="1001"/>
                        <w:ind w:left="-142" w:right="-139"/>
                        <w:rPr>
                          <w:i/>
                          <w:color w:val="1f497d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1f497d"/>
                          <w:sz w:val="16"/>
                          <w:szCs w:val="16"/>
                        </w:rPr>
                      </w:r>
                      <w:r/>
                    </w:p>
                    <w:p>
                      <w:pPr>
                        <w:pStyle w:val="100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0" behindDoc="1" locked="0" layoutInCell="1" allowOverlap="1">
                <wp:simplePos x="0" y="0"/>
                <wp:positionH relativeFrom="column">
                  <wp:posOffset>-848359</wp:posOffset>
                </wp:positionH>
                <wp:positionV relativeFrom="paragraph">
                  <wp:posOffset>114935</wp:posOffset>
                </wp:positionV>
                <wp:extent cx="597535" cy="254635"/>
                <wp:effectExtent l="0" t="0" r="0" b="0"/>
                <wp:wrapNone/>
                <wp:docPr id="3" name="_x0000_s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9753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001"/>
                              <w:rPr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1f497d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100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-250609660;o:allowoverlap:true;o:allowincell:true;mso-position-horizontal-relative:text;margin-left:-66.8pt;mso-position-horizontal:absolute;mso-position-vertical-relative:text;margin-top:9.0pt;mso-position-vertical:absolute;width:47.0pt;height:20.1pt;mso-wrap-distance-left:9.0pt;mso-wrap-distance-top:0.0pt;mso-wrap-distance-right:9.0pt;mso-wrap-distance-bottom:0.0pt;visibility:visible;" fillcolor="#FFFFFF" strokecolor="#FFFFFF">
                <v:textbox inset="0,0,0,0">
                  <w:txbxContent>
                    <w:p>
                      <w:pPr>
                        <w:pStyle w:val="1001"/>
                        <w:rPr>
                          <w:i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1f497d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100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i/>
          <w:color w:val="1f497d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1" behindDoc="1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55245</wp:posOffset>
                </wp:positionV>
                <wp:extent cx="384175" cy="359410"/>
                <wp:effectExtent l="0" t="0" r="0" b="0"/>
                <wp:wrapNone/>
                <wp:docPr id="4" name="_x0000_s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841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001"/>
                              <w:ind w:left="-142" w:right="-128"/>
                              <w:rPr>
                                <w:i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</w:r>
                            <w:r/>
                          </w:p>
                          <w:p>
                            <w:pPr>
                              <w:pStyle w:val="100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-250609661;o:allowoverlap:true;o:allowincell:true;mso-position-horizontal-relative:text;margin-left:3.2pt;mso-position-horizontal:absolute;mso-position-vertical-relative:text;margin-top:4.3pt;mso-position-vertical:absolute;width:30.2pt;height:28.3pt;mso-wrap-distance-left:9.0pt;mso-wrap-distance-top:0.0pt;mso-wrap-distance-right:9.0pt;mso-wrap-distance-bottom:0.0pt;visibility:visible;" fillcolor="#FFFFFF" strokecolor="#FFFFFF">
                <v:textbox inset="0,0,0,0">
                  <w:txbxContent>
                    <w:p>
                      <w:pPr>
                        <w:pStyle w:val="1001"/>
                        <w:ind w:left="-142" w:right="-128"/>
                        <w:rPr>
                          <w:i/>
                          <w:color w:val="1f497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i/>
                          <w:color w:val="1f497d"/>
                          <w:sz w:val="20"/>
                          <w:szCs w:val="20"/>
                          <w:lang w:val="en-US"/>
                        </w:rPr>
                      </w:r>
                      <w:r/>
                    </w:p>
                    <w:p>
                      <w:pPr>
                        <w:pStyle w:val="100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</w:rPr>
      </w:r>
      <w:r/>
    </w:p>
    <w:p>
      <w:pPr>
        <w:pStyle w:val="1001"/>
        <w:ind w:firstLine="709"/>
        <w:jc w:val="both"/>
        <w:rPr>
          <w:rFonts w:ascii="Arial" w:hAnsi="Arial" w:eastAsia="Times New Roman" w:cs="Arial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В соответствии с Федеральным законом от 14 марта 1995 года № 33-ФЗ «Об особо охраняемых природных территориях» Правительство Удмуртской Республики </w:t>
      </w:r>
      <w:r>
        <w:rPr>
          <w:rFonts w:eastAsia="Times New Roman"/>
          <w:b/>
          <w:lang w:eastAsia="ru-RU"/>
        </w:rPr>
        <w:t xml:space="preserve">постановляет:</w:t>
      </w:r>
      <w:r>
        <w:rPr>
          <w:rFonts w:ascii="Arial" w:hAnsi="Arial" w:eastAsia="Times New Roman" w:cs="Arial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ascii="Arial" w:hAnsi="Arial" w:eastAsia="Times New Roman" w:cs="Arial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1. Объявить участок заболоченного побережья Ижевского пруда в западной части города Ижевска Удмуртской Республики, напротив устья реки Пазелинки, памятником природы регионального значения «Юровский мыс». </w:t>
      </w:r>
      <w:r>
        <w:rPr>
          <w:rFonts w:ascii="Arial" w:hAnsi="Arial" w:eastAsia="Times New Roman" w:cs="Arial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ascii="Arial" w:hAnsi="Arial" w:eastAsia="Times New Roman" w:cs="Arial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2. Утвердить прилагаемое Положение о памятнике природы регионального значения «Юровский мыс».</w:t>
      </w:r>
      <w:r>
        <w:rPr>
          <w:rFonts w:ascii="Arial" w:hAnsi="Arial" w:eastAsia="Times New Roman" w:cs="Arial"/>
          <w:sz w:val="20"/>
          <w:szCs w:val="20"/>
          <w:lang w:eastAsia="ru-RU"/>
        </w:rPr>
      </w:r>
      <w:r/>
    </w:p>
    <w:p>
      <w:pPr>
        <w:pStyle w:val="1001"/>
        <w:contextualSpacing/>
        <w:ind w:firstLine="709"/>
        <w:jc w:val="both"/>
      </w:pPr>
      <w:r>
        <w:rPr>
          <w:rFonts w:eastAsia="Times New Roman"/>
          <w:lang w:eastAsia="ru-RU"/>
        </w:rPr>
        <w:t xml:space="preserve">3. Настоящее постановление вступает в силу через 10 дней после его официального опубликования.</w:t>
      </w:r>
      <w:r/>
    </w:p>
    <w:p>
      <w:pPr>
        <w:pStyle w:val="1001"/>
        <w:contextualSpacing/>
        <w:jc w:val="center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3668395</wp:posOffset>
                </wp:positionH>
                <wp:positionV relativeFrom="paragraph">
                  <wp:posOffset>146685</wp:posOffset>
                </wp:positionV>
                <wp:extent cx="2047875" cy="463550"/>
                <wp:effectExtent l="0" t="0" r="0" b="0"/>
                <wp:wrapNone/>
                <wp:docPr id="5" name="_x0000_s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4787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001"/>
                              <w:rPr>
                                <w:i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1f497d"/>
                                <w:sz w:val="24"/>
                                <w:szCs w:val="24"/>
                              </w:rPr>
                            </w:r>
                            <w:r/>
                          </w:p>
                          <w:p>
                            <w:pPr>
                              <w:pStyle w:val="100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58241;o:allowoverlap:true;o:allowincell:true;mso-position-horizontal-relative:text;margin-left:288.8pt;mso-position-horizontal:absolute;mso-position-vertical-relative:text;margin-top:11.5pt;mso-position-vertical:absolute;width:161.2pt;height:36.5pt;mso-wrap-distance-left:9.0pt;mso-wrap-distance-top:0.0pt;mso-wrap-distance-right:9.0pt;mso-wrap-distance-bottom:0.0pt;visibility:visible;" fillcolor="#FFFFFF" strokecolor="#FFFFFF">
                <v:textbox inset="0,0,0,0">
                  <w:txbxContent>
                    <w:p>
                      <w:pPr>
                        <w:pStyle w:val="1001"/>
                        <w:rPr>
                          <w:i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1f497d"/>
                          <w:sz w:val="24"/>
                          <w:szCs w:val="24"/>
                        </w:rPr>
                      </w:r>
                      <w:r/>
                    </w:p>
                    <w:p>
                      <w:pPr>
                        <w:pStyle w:val="100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1001"/>
        <w:contextualSpacing/>
        <w:jc w:val="center"/>
      </w:pPr>
      <w:r/>
      <w:r/>
    </w:p>
    <w:p>
      <w:pPr>
        <w:pStyle w:val="1001"/>
        <w:contextualSpacing/>
        <w:jc w:val="center"/>
        <w:tabs>
          <w:tab w:val="left" w:pos="851" w:leader="none"/>
        </w:tabs>
      </w:pPr>
      <w:r/>
      <w:r/>
    </w:p>
    <w:p>
      <w:pPr>
        <w:pStyle w:val="1001"/>
        <w:contextualSpacing/>
        <w:rPr>
          <w:b/>
        </w:rPr>
      </w:pPr>
      <w:r>
        <w:rPr>
          <w:b/>
        </w:rPr>
        <w:t xml:space="preserve">Председатель Правительства</w:t>
      </w:r>
      <w:r>
        <w:rPr>
          <w:b/>
        </w:rPr>
      </w:r>
      <w:r/>
    </w:p>
    <w:p>
      <w:pPr>
        <w:pStyle w:val="1001"/>
        <w:rPr>
          <w:b/>
        </w:rPr>
      </w:pPr>
      <w:r>
        <w:rPr>
          <w:b/>
        </w:rPr>
        <w:t xml:space="preserve">Удмуртской Республики </w:t>
        <w:tab/>
        <w:tab/>
        <w:tab/>
        <w:tab/>
        <w:tab/>
      </w:r>
      <w:r>
        <w:rPr>
          <w:b/>
        </w:rPr>
        <w:t xml:space="preserve">    </w:t>
      </w:r>
      <w:r>
        <w:rPr>
          <w:b/>
        </w:rPr>
        <w:tab/>
        <w:t xml:space="preserve">      </w:t>
      </w:r>
      <w:r>
        <w:rPr>
          <w:b/>
        </w:rPr>
        <w:t xml:space="preserve"> </w:t>
      </w:r>
      <w:r>
        <w:rPr>
          <w:b/>
        </w:rPr>
        <w:t xml:space="preserve">Я</w:t>
      </w:r>
      <w:r>
        <w:rPr>
          <w:b/>
        </w:rPr>
        <w:t xml:space="preserve">.В. </w: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110490</wp:posOffset>
                </wp:positionV>
                <wp:extent cx="2316480" cy="414020"/>
                <wp:effectExtent l="0" t="0" r="0" b="0"/>
                <wp:wrapNone/>
                <wp:docPr id="6" name="_x0000_s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31648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01"/>
                              <w:rPr>
                                <w:i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1f497d"/>
                                <w:sz w:val="24"/>
                                <w:szCs w:val="24"/>
                              </w:rPr>
                            </w:r>
                            <w:r/>
                          </w:p>
                          <w:p>
                            <w:pPr>
                              <w:pStyle w:val="100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-524288;o:allowoverlap:true;o:allowincell:true;mso-position-horizontal-relative:text;margin-left:28.2pt;mso-position-horizontal:absolute;mso-position-vertical-relative:text;margin-top:8.7pt;mso-position-vertical:absolute;width:182.4pt;height:32.6pt;mso-wrap-distance-left:9.0pt;mso-wrap-distance-top:0.0pt;mso-wrap-distance-right:9.0pt;mso-wrap-distance-bottom:0.0pt;visibility:visible;" fillcolor="#FFFFFF" stroked="f">
                <v:textbox inset="0,0,0,0">
                  <w:txbxContent>
                    <w:p>
                      <w:pPr>
                        <w:pStyle w:val="1001"/>
                        <w:rPr>
                          <w:i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1f497d"/>
                          <w:sz w:val="24"/>
                          <w:szCs w:val="24"/>
                        </w:rPr>
                      </w:r>
                      <w:r/>
                    </w:p>
                    <w:p>
                      <w:pPr>
                        <w:pStyle w:val="100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Семенов</w:t>
      </w:r>
      <w:r>
        <w:rPr>
          <w:b/>
        </w:rPr>
      </w:r>
      <w:r/>
    </w:p>
    <w:p>
      <w:pPr>
        <w:pStyle w:val="1001"/>
        <w:contextualSpacing/>
        <w:rPr>
          <w:b/>
        </w:rPr>
      </w:pPr>
      <w:r>
        <w:rPr>
          <w:b/>
        </w:rPr>
      </w:r>
      <w:r/>
    </w:p>
    <w:p>
      <w:pPr>
        <w:pStyle w:val="1001"/>
        <w:contextualSpacing/>
        <w:rPr>
          <w:b/>
        </w:rPr>
      </w:pPr>
      <w:r>
        <w:tab/>
      </w:r>
      <w:r>
        <w:rPr>
          <w:b/>
        </w:rPr>
      </w:r>
      <w:r/>
    </w:p>
    <w:p>
      <w:pPr>
        <w:pStyle w:val="1001"/>
        <w:contextualSpacing/>
      </w:pPr>
      <w:r>
        <w:t xml:space="preserve">Проект вносит:</w:t>
      </w:r>
      <w:r/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794"/>
        <w:gridCol w:w="5670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794" w:type="dxa"/>
            <w:vAlign w:val="top"/>
            <w:textDirection w:val="lrTb"/>
            <w:noWrap w:val="false"/>
          </w:tcPr>
          <w:p>
            <w:pPr>
              <w:pStyle w:val="1001"/>
              <w:rPr>
                <w:rFonts w:ascii="Courier New" w:hAnsi="Courier New" w:eastAsia="Times New Roman" w:cs="Courier New"/>
                <w:sz w:val="20"/>
                <w:szCs w:val="20"/>
                <w:lang w:eastAsia="ru-RU"/>
              </w:rPr>
            </w:pPr>
            <w:r>
              <w:fldChar w:fldCharType="begin"/>
            </w:r>
            <w:r>
              <w:instrText xml:space="preserve"> DOCPROPERTY "Р*Подписывающий...*Должность" \* MERGEFORMAT </w:instrText>
            </w:r>
            <w:r>
              <w:fldChar w:fldCharType="separate"/>
            </w:r>
            <w:r>
              <w:rPr>
                <w:rFonts w:eastAsia="Times New Roman" w:cs="Courier New"/>
                <w:szCs w:val="20"/>
                <w:lang w:eastAsia="ru-RU"/>
              </w:rPr>
              <w:t xml:space="preserve">министр природных ресурсов </w:t>
            </w:r>
            <w:r>
              <w:rPr>
                <w:rFonts w:ascii="Courier New" w:hAnsi="Courier New" w:eastAsia="Times New Roman" w:cs="Courier New"/>
                <w:sz w:val="20"/>
                <w:szCs w:val="20"/>
                <w:lang w:eastAsia="ru-RU"/>
              </w:rPr>
            </w:r>
            <w:r/>
          </w:p>
          <w:p>
            <w:pPr>
              <w:pStyle w:val="1001"/>
              <w:rPr>
                <w:rFonts w:ascii="Courier New" w:hAnsi="Courier New" w:eastAsia="Times New Roman" w:cs="Courier New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szCs w:val="20"/>
                <w:lang w:eastAsia="ru-RU"/>
              </w:rPr>
              <w:t xml:space="preserve">и охраны окружающей среды</w:t>
            </w:r>
            <w:r>
              <w:rPr>
                <w:rFonts w:ascii="Courier New" w:hAnsi="Courier New" w:eastAsia="Times New Roman" w:cs="Courier New"/>
                <w:sz w:val="20"/>
                <w:szCs w:val="20"/>
                <w:lang w:eastAsia="ru-RU"/>
              </w:rPr>
            </w:r>
            <w:r/>
          </w:p>
          <w:p>
            <w:pPr>
              <w:pStyle w:val="1001"/>
              <w:contextualSpacing/>
              <w:jc w:val="both"/>
            </w:pPr>
            <w:r>
              <w:rPr>
                <w:rFonts w:eastAsia="Times New Roman"/>
                <w:lang w:eastAsia="ru-RU"/>
              </w:rPr>
              <w:t xml:space="preserve">Удмуртской</w:t>
            </w:r>
            <w:r>
              <w:fldChar w:fldCharType="end"/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670" w:type="dxa"/>
            <w:vAlign w:val="top"/>
            <w:textDirection w:val="lrTb"/>
            <w:noWrap w:val="false"/>
          </w:tcPr>
          <w:p>
            <w:pPr>
              <w:pStyle w:val="1001"/>
              <w:contextualSpacing/>
              <w:jc w:val="right"/>
            </w:pPr>
            <w:r>
              <w:fldChar w:fldCharType="begin"/>
            </w:r>
            <w:r>
              <w:instrText xml:space="preserve"> DOCPROPERTY "И.О. Фамилия подписывающего" \* MERGEFORMAT </w:instrText>
            </w:r>
            <w:r>
              <w:fldChar w:fldCharType="separate"/>
            </w:r>
            <w:r>
              <w:t xml:space="preserve">Д</w:t>
            </w:r>
            <w:r>
              <w:t xml:space="preserve">.</w:t>
            </w:r>
            <w:r>
              <w:t xml:space="preserve">Н</w:t>
            </w:r>
            <w:r>
              <w:t xml:space="preserve">. </w:t>
            </w:r>
            <w:r>
              <w:t xml:space="preserve">Удалов</w:t>
            </w:r>
            <w:r>
              <w:fldChar w:fldCharType="end"/>
            </w:r>
            <w:r/>
          </w:p>
        </w:tc>
      </w:tr>
    </w:tbl>
    <w:p>
      <w:pPr>
        <w:pStyle w:val="1001"/>
        <w:contextualSpacing/>
      </w:pPr>
      <w:r>
        <w:t xml:space="preserve">_________________________________________________________________</w:t>
      </w:r>
      <w:r>
        <w:t xml:space="preserve">__</w:t>
      </w:r>
      <w:r>
        <w:t xml:space="preserve">_</w:t>
      </w:r>
      <w:r/>
    </w:p>
    <w:p>
      <w:pPr>
        <w:pStyle w:val="1001"/>
        <w:contextualSpacing/>
        <w:jc w:val="both"/>
        <w:rPr>
          <w:sz w:val="22"/>
        </w:rPr>
      </w:pPr>
      <w:r>
        <w:rPr>
          <w:sz w:val="22"/>
        </w:rPr>
        <w:t xml:space="preserve">Разослать:</w:t>
      </w:r>
      <w:r>
        <w:rPr>
          <w:sz w:val="22"/>
        </w:rPr>
        <w:t xml:space="preserve"> </w:t>
      </w:r>
      <w:r>
        <w:rPr>
          <w:sz w:val="22"/>
          <w:szCs w:val="22"/>
        </w:rPr>
        <w:t xml:space="preserve">Секретариат зам</w:t>
      </w:r>
      <w:r>
        <w:rPr>
          <w:sz w:val="22"/>
          <w:szCs w:val="22"/>
        </w:rPr>
        <w:t xml:space="preserve">естителя Председателя Правительства УР, Управление Министерства юстиции РФ по УР, Минприроды УР, Администрация МО «Город Ижевск», Госсовет УР, ГФИ по УР, Государственный контрольный комитет УР, Прокуратура УР, официальный сайт Главы и Правительства УР, СПС</w:t>
      </w:r>
      <w:r>
        <w:rPr>
          <w:sz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  <w:sectPr>
          <w:headerReference w:type="default" r:id="rId9"/>
          <w:headerReference w:type="even" r:id="rId10"/>
          <w:headerReference w:type="first" r:id="rId11"/>
          <w:footerReference w:type="default" r:id="rId12"/>
          <w:footerReference w:type="even" r:id="rId13"/>
          <w:footerReference w:type="first" r:id="rId14"/>
          <w:footnotePr/>
          <w:endnotePr/>
          <w:type w:val="nextPage"/>
          <w:pgSz w:w="11906" w:h="16838" w:orient="portrait"/>
          <w:pgMar w:top="1135" w:right="566" w:bottom="1135" w:left="1701" w:header="709" w:footer="709" w:gutter="0"/>
          <w:cols w:num="1" w:sep="0" w:space="708" w:equalWidth="1"/>
          <w:docGrid w:linePitch="360"/>
          <w:titlePg/>
        </w:sectPr>
      </w:pPr>
      <w:r>
        <w:rPr>
          <w:b/>
          <w:i/>
          <w:sz w:val="22"/>
          <w:szCs w:val="22"/>
        </w:rPr>
      </w:r>
      <w:r/>
    </w:p>
    <w:p>
      <w:pPr>
        <w:pStyle w:val="1001"/>
        <w:ind w:left="4820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УТВЕРЖДЕНО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left="4820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постановлением Правительства Удмуртской Республики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left="4820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от «___»________20</w:t>
      </w:r>
      <w:r>
        <w:rPr>
          <w:rFonts w:eastAsia="Times New Roman"/>
          <w:lang w:eastAsia="ru-RU"/>
        </w:rPr>
        <w:t xml:space="preserve">__</w:t>
      </w:r>
      <w:r>
        <w:rPr>
          <w:rFonts w:eastAsia="Times New Roman"/>
          <w:lang w:eastAsia="ru-RU"/>
        </w:rPr>
        <w:t xml:space="preserve"> года №____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left="48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</w:r>
      <w:r/>
    </w:p>
    <w:p>
      <w:pPr>
        <w:pStyle w:val="1001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ПОЛОЖЕНИЕ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о памятнике природы регионального значения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«Юровский мыс»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val="en-US" w:eastAsia="ru-RU"/>
        </w:rPr>
        <w:t xml:space="preserve">I</w:t>
      </w:r>
      <w:r>
        <w:rPr>
          <w:rFonts w:eastAsia="Times New Roman"/>
          <w:lang w:eastAsia="ru-RU"/>
        </w:rPr>
        <w:t xml:space="preserve">. Общие положения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rPr>
          <w:rFonts w:ascii="Arial" w:hAnsi="Arial" w:eastAsia="Times New Roman" w:cs="Arial"/>
          <w:sz w:val="20"/>
          <w:szCs w:val="20"/>
          <w:lang w:eastAsia="ru-RU"/>
        </w:rPr>
      </w:pPr>
      <w:r>
        <w:rPr>
          <w:rFonts w:ascii="Arial" w:hAnsi="Arial" w:eastAsia="Times New Roman" w:cs="Arial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1. Настоящее Положение определяет правовой статус памятника природы регионального значения «Юровский мыс» (далее – Памятник природы), устанавливает его границы и режим особой охраны.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2. Территория, занятая Памятником природы, является особо охраняемой природной территорией регионального значения.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3. Памятник природы располагается на территории муниципального образования «Город Ижевск».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4. Площадь Памятника природы – 106,8 га (1068074±3617 кв.м).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5. Границы Памятника природы определены в местной системе координат, принятой для Удмуртской Республики (МСК-18), и представлены в </w:t>
      </w: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"consultantplus://offline/ref=9A97904A4B4D47DE0B263657FBE093334F826BC7B8C2A59153CB66DA90E9574F4A15E4r7cAK"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приложении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lang w:eastAsia="ru-RU"/>
        </w:rPr>
        <w:t xml:space="preserve"> к настоящему Положению.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Границы Памятника природы обозначаются на местности предупредительными и информационными знаками (табличками, указателями, щитами, аншлагами).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6. Памятник природы находится в ведении Министерства природных ресурсов и охраны окружающей среды Удмуртской Республики, которое осуществляет его охрану в установленном законодательством порядке.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val="en-US" w:eastAsia="ru-RU"/>
        </w:rPr>
        <w:t xml:space="preserve">II</w:t>
      </w:r>
      <w:r>
        <w:rPr>
          <w:rFonts w:eastAsia="Times New Roman"/>
          <w:lang w:eastAsia="ru-RU"/>
        </w:rPr>
        <w:t xml:space="preserve">. Цели и задачи Памятника природы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both"/>
        <w:tabs>
          <w:tab w:val="left" w:pos="900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7. Основной целью создания Памятника природы является сохране</w:t>
      </w:r>
      <w:r>
        <w:rPr>
          <w:rFonts w:eastAsia="Times New Roman"/>
          <w:lang w:eastAsia="ru-RU"/>
        </w:rPr>
        <w:t xml:space="preserve">ние уникального флористического комплекса сплавин с примыкающими старовозрастными лесными участками из липы, имеющего ценные ресурсы клюквы болотной и локальные популяции редких и исчезающих видов растений, занесённых в Красную книгу Удмуртской Республики.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37"/>
        <w:jc w:val="both"/>
        <w:tabs>
          <w:tab w:val="left" w:pos="900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8. Задачами Памятника природы являются: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tabs>
          <w:tab w:val="left" w:pos="900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1) сохранение природных комплексов, растительных сообществ, редких элементов биоты;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tabs>
          <w:tab w:val="left" w:pos="900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2) ведение мониторинга состояния природных комплексов;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tabs>
          <w:tab w:val="left" w:pos="900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3) проведение научных исследований;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tabs>
          <w:tab w:val="left" w:pos="900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4) экологическое просвещение.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center"/>
        <w:tabs>
          <w:tab w:val="left" w:pos="900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val="en-US" w:eastAsia="ru-RU"/>
        </w:rPr>
        <w:t xml:space="preserve">III</w:t>
      </w:r>
      <w:r>
        <w:rPr>
          <w:rFonts w:eastAsia="Times New Roman"/>
          <w:lang w:eastAsia="ru-RU"/>
        </w:rPr>
        <w:t xml:space="preserve">. Режим особой охраны и использование территории Памятника природы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both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9. На территории Памятника природы запрещается: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геологическое изучение недр, разработка месторождений полезных ископаемых, выполнение иных работ, связанных с пользованием недрами;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создание лесоперерабатывающей инфраструктуры;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проведение сплошных рубок лесных насаждений;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проведение рубок древесно-кустарниковой растительности, за исключением рубок по устройству и расчистке экологических троп, лесных дор</w:t>
      </w:r>
      <w:r>
        <w:rPr>
          <w:rFonts w:eastAsia="Times New Roman"/>
          <w:color w:val="000000"/>
          <w:lang w:eastAsia="ru-RU"/>
        </w:rPr>
        <w:t xml:space="preserve">ог, а также рубок, связанных с реконструкцией, ремонтом и эксплуатацией линейных и иных объектов, осуществляемых в соответствии с настоящим Положением;                      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вырубка здоровых экземпляров старовозрастных деревьев;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самовольная рубка лесных насаждений (в том числе самовольная рубка подроста хвойных пород деревьев), самовольное выкапывание деревьев и кустарников;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подсочка лесных насаждений, сбор и заготовка сока, бересты, нанесение повреждений деревьям и кустарникам;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деятельность, влекущая за собой изменение гидрологического режима;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строительство объектов капитального строительства;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строительство магистральных дорог, трубопроводов и других коммуникаций, хозяйственных и жилых объектов, не связанных с функционированием Памятника природы;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предоставление земельных участков для индивидуального жилищного строительства, строительства садовых домов, гаражного строительства, ведения садоводства и огородничества, личного подсобного хозяйства;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использование природных ресурсов в промышленных целях, в том числе заготовка живицы, промышленная заготовка и сбор ягод, плодов, семян, лекарственного и технического сырья;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промысловая, любительская и спортивная охота;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промышленное рыболовство;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сбор биологических коллекций, кроме осуществляемого в рамках научно-исследовательской деятельности;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сбор редких и исчезающих видов растений, занесённых в Красную книгу Удмуртской Республики;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деятельность, влекущая за собой нарушение условий произрастания и обитания объектов растительного и животного мира;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прогон и выпас сельскохозяйственных животных;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применение и хранение ядохимикатов, нефтепродуктов, минеральных удобрений, химических средств защиты растений, стимуляторов роста и других вредных веществ;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проезд и стоянка автомототранспортных средств вне существующих дорог</w:t>
      </w:r>
      <w:r>
        <w:rPr>
          <w:rFonts w:eastAsia="Times New Roman"/>
          <w:lang w:eastAsia="ru-RU"/>
        </w:rPr>
        <w:t xml:space="preserve"> (в том числе лесных и полевых дорог)</w:t>
      </w:r>
      <w:r>
        <w:rPr>
          <w:rFonts w:eastAsia="Times New Roman"/>
          <w:lang w:eastAsia="ru-RU"/>
        </w:rPr>
        <w:t xml:space="preserve"> и специально предусмотренных для этого мест (кроме случаев, связанных с охраной, обеспечением режима и выполнением задач памятника природы, проведением биотехнических, противопожар</w:t>
      </w:r>
      <w:r>
        <w:rPr>
          <w:rFonts w:eastAsia="Times New Roman"/>
          <w:lang w:eastAsia="ru-RU"/>
        </w:rPr>
        <w:t xml:space="preserve">ных и лесохозяйственных мероприятий, мероприятий по охране, защите и воспроизводству лесов, мероприятий по охране водных объектов от загрязнения, засорения и истощения, мероприятий по охране объектов животного мира, водных биоресурсов и среды их обитания);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мойка транспортных средств;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устройство привалов, биваков, туристских стоянок вне специально оборудованных для этого мест;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организация массовых спортивных и зрелищных мероприятий;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разведение костров, пускание палов, выжигание растительности;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создание объектов размещения отходов производства и потребления, радиоактивных, химических, взрывчатых, токсичных, отравляющих и ядовитых веществ, устройство свалок мусора и захламление территории;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уничтожение и повреждение аншлагов, шлагбаумов, стендов, граничных столбов и других информационных знаков и указателей, оборудованных экологических троп;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иная деятельность, влекущая за собой нарушение сохранности Памятника природы.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10. На территории Памятника природы допускается: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проведение рубок в целях вырубки погибших и поврежденных</w:t>
      </w:r>
      <w:r>
        <w:rPr>
          <w:rFonts w:eastAsia="Times New Roman"/>
          <w:color w:val="000000"/>
          <w:lang w:eastAsia="ru-RU"/>
        </w:rPr>
        <w:t xml:space="preserve"> лесных насаждений, а также рубок ухода, не связанных с заготовкой древесины (осветления и прочистки). Рубки лесных насаждений проводятся в зимний период (кроме рубок осветлений и прочисток) по снежному покрову способами, не влекущими повреждения раститель</w:t>
      </w:r>
      <w:r>
        <w:rPr>
          <w:rFonts w:eastAsia="Times New Roman"/>
          <w:color w:val="000000"/>
          <w:lang w:eastAsia="ru-RU"/>
        </w:rPr>
        <w:t xml:space="preserve">ного покрова и подроста, в соответствии с правилами санитарной безопасности в лесах, правилами пожарной безопасности в лесах, правилами ухода за лесами, правилами заготовки древесины, установленными уполномоченным федеральным органом исполнительной власти;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сбор дикорастущих плодов, ягод, грибов, других пригодных для употребления в пищу лесных ресурсов, валежника для собственных нужд граждан;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проведение мероприятий по охране, защите и воспроизводству лесов в части лесовосстановления и ухода за лесами, не связанного с заготовкой древесины (осветления и прочистки);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проведение мероприятий по охране водных объектов от загрязнения, засорения и истощения;</w:t>
      </w: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проведение мероприятий по предотвращению негативного воздействия вод;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проведение мероприятий по охране объектов животного мира, водных биоресурсов и среды их обитания;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проведение необходимых природоохранных, природовосстановительных, биотехнических, противопожарных мероприятий и мероприятий, связанных с тушением лесных пожаров;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научно-исследовательская деятельность (изучение и мониторинг природных комплексов и их компонентов);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эколого-просветительская деятельность (снятие видеофильмов, фотографирование, организация и устройство экскурсионных экологических троп, пешие экскурсии по разработанным тропам);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рекреационная деятельность (пешие, лыжные, велосипедные, конные, прогулки, </w:t>
      </w:r>
      <w:r>
        <w:rPr>
          <w:rFonts w:eastAsia="Times New Roman"/>
          <w:highlight w:val="white"/>
          <w:lang w:eastAsia="ru-RU"/>
        </w:rPr>
        <w:t xml:space="preserve">кратковременный отдых</w:t>
      </w:r>
      <w:r>
        <w:rPr>
          <w:rFonts w:eastAsia="Times New Roman"/>
          <w:lang w:eastAsia="ru-RU"/>
        </w:rPr>
        <w:t xml:space="preserve">);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любительское рыболовство;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установка информационных аншлагов, табличек, указателей, обустройство мест кратковременного отдыха;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иная деятельность, не противоречащая целям и задачам Памятника природы и не влекущая за собой нарушение сохранности его природных комплексов.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Реконструкция</w:t>
      </w:r>
      <w:r>
        <w:rPr>
          <w:rFonts w:eastAsia="Times New Roman"/>
          <w:lang w:eastAsia="ru-RU"/>
        </w:rPr>
        <w:t xml:space="preserve"> и ремонт существующих линейных объектов и сооружений (дорог, трубопроводов, линий электропередачи, волоконно-оптических линий связи, других линейных объектов), хозяйственных объектов, а также их эксплуатация, иная хозяйственная деятельность в границах Пам</w:t>
      </w:r>
      <w:r>
        <w:rPr>
          <w:rFonts w:eastAsia="Times New Roman"/>
          <w:lang w:eastAsia="ru-RU"/>
        </w:rPr>
        <w:t xml:space="preserve">я</w:t>
      </w:r>
      <w:r>
        <w:rPr>
          <w:rFonts w:eastAsia="Times New Roman"/>
          <w:lang w:eastAsia="ru-RU"/>
        </w:rPr>
        <w:t xml:space="preserve">тника природы осуществляются с соблюдением режима, установленного настоящим Положением, и </w:t>
      </w:r>
      <w:r>
        <w:rPr>
          <w:rFonts w:eastAsia="Times New Roman"/>
          <w:highlight w:val="white"/>
          <w:lang w:eastAsia="ru-RU"/>
        </w:rPr>
        <w:t xml:space="preserve">Требований по предотвращению гибели объектов животного мира при осуществлении производственных процессов, а также при эксплуатации транспортных</w:t>
      </w:r>
      <w:r>
        <w:rPr>
          <w:rFonts w:eastAsia="Times New Roman"/>
          <w:highlight w:val="white"/>
          <w:lang w:eastAsia="ru-RU"/>
        </w:rPr>
        <w:t xml:space="preserve"> </w:t>
      </w:r>
      <w:r>
        <w:rPr>
          <w:rFonts w:eastAsia="Times New Roman"/>
          <w:highlight w:val="white"/>
          <w:lang w:eastAsia="ru-RU"/>
        </w:rPr>
        <w:t xml:space="preserve">магистралей, трубопроводов, линий связи и электропередачи, утверждённых в соответствии со статьёй 28 Федерального закона от 24 апреля 1995 года № 52-ФЗ «О животном мире</w:t>
      </w:r>
      <w:r>
        <w:rPr>
          <w:rFonts w:eastAsia="Times New Roman"/>
          <w:lang w:eastAsia="ru-RU"/>
        </w:rPr>
        <w:t xml:space="preserve">».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Деятельность </w:t>
      </w:r>
      <w:r>
        <w:rPr>
          <w:rFonts w:eastAsia="Times New Roman"/>
          <w:lang w:eastAsia="ru-RU"/>
        </w:rPr>
        <w:t xml:space="preserve">собственников, пользователей, владельцев и арендаторов земельных участков, находящихся в границах Памятника природы, осуществляется в соответствии с целевым назначением земельных участков с учётом запретов и ограничений, установленных настоящим Положением.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Использование водных объектов и их охрана в границах Памятника природы осуществляются в соответствии с Водным кодексом Российской Федерации с учётом ограничений и запретов, установленных настоящим Положением.        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Использование лесных участков, проведение мероприятий по охране, защите и воспроизводству лесов на территории Памятника природы осуществляются в соответствии с Лесохозяйственным регламентом Ижевского лесничества</w:t>
      </w:r>
      <w:r>
        <w:rPr>
          <w:rFonts w:eastAsia="Times New Roman"/>
          <w:sz w:val="20"/>
          <w:szCs w:val="20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муниципального образования «Город Ижевск» с учётом ограничений, установленных пунктами 9, 10 настоящего Положения.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Граждане </w:t>
      </w:r>
      <w:r>
        <w:rPr>
          <w:rFonts w:eastAsia="Times New Roman"/>
          <w:lang w:eastAsia="ru-RU"/>
        </w:rPr>
        <w:t xml:space="preserve">имеют право свободно и бесплатно пребывать на территории Памятника природы, осуществлять заготовку и сбор дикорастущих плодов, ягод, орехов, грибов, других приго</w:t>
      </w:r>
      <w:r>
        <w:rPr>
          <w:rFonts w:eastAsia="Times New Roman"/>
          <w:lang w:eastAsia="ru-RU"/>
        </w:rPr>
        <w:t xml:space="preserve">дных для употребления в пищу лесных ресурсов, а также недревесных лесных ресурсов (за исключением елей и деревьев других хвойных пород для новогодних праздников) для собственных нужд с соблюдением запретов и ограничений, установленных настоящим Положением.</w:t>
      </w:r>
      <w:r>
        <w:rPr>
          <w:rFonts w:eastAsia="Times New Roman"/>
          <w:color w:val="000000"/>
          <w:lang w:eastAsia="ru-RU"/>
        </w:rPr>
        <w:t xml:space="preserve">              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Виды разрешённого использования земельных участков, расположенных в границах Памятника природы, в соответствии с классификатором видов </w:t>
      </w:r>
      <w:r>
        <w:rPr>
          <w:rFonts w:eastAsia="Times New Roman"/>
          <w:lang w:eastAsia="ru-RU"/>
        </w:rPr>
        <w:t xml:space="preserve">разрешённого использования земельных участков, утверждённым приказом Федеральной службы государственной регистрации, кадастра и картографии от 10 ноября 2020 года № П/0412 «Об утверждении классификатора видов разрешенного использования земельных участков»: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1) основные виды разрешённого использования земельных участков: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деятельность по особой охране и изучению природы (код 9.0);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охрана природных территорий (код 9.1);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2) вспомогательные виды разрешённого использования земельных участков: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</w:pPr>
      <w:r>
        <w:rPr>
          <w:rFonts w:eastAsia="Times New Roman"/>
          <w:lang w:eastAsia="ru-RU"/>
        </w:rPr>
        <w:t xml:space="preserve">природно-познавательный туризм (код 5.2), за исключением размещения баз и палаточных лагерей;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связь (код 6.8), транспорт (код 7.0) в случаях, предусмотренных настоящим Положением;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использование лесов (код 10.0) с учётом ограничений и запретов, установленных настоящим Положением;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 xml:space="preserve">водные объекты (код 11.0), общее пользование водными объектами (код 11.1), специальное пользование водными объектами (код 11.2), гидротехнические сооружения (код 11.3).             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11. </w:t>
      </w:r>
      <w:r>
        <w:rPr>
          <w:rFonts w:eastAsia="Times New Roman"/>
          <w:color w:val="000000"/>
          <w:lang w:eastAsia="ru-RU"/>
        </w:rPr>
        <w:t xml:space="preserve">Установленный режим особой охраны Памятника природы обязаны соблюдать все физические и юридические лица, в том числе собственники, владельцы, пользователи и арендаторы земельных участков, находящихся в границах Памятника природы.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12. Физические и юридические лица, </w:t>
      </w:r>
      <w:r>
        <w:rPr>
          <w:rFonts w:eastAsia="Times New Roman"/>
          <w:color w:val="000000"/>
          <w:lang w:eastAsia="ru-RU"/>
        </w:rPr>
        <w:t xml:space="preserve">в том числе собственники, владельцы, пользователи и арендаторы земельных участков, находящихся в границах Памятника природы,</w:t>
      </w:r>
      <w:r>
        <w:rPr>
          <w:rFonts w:eastAsia="Times New Roman"/>
          <w:lang w:eastAsia="ru-RU"/>
        </w:rPr>
        <w:t xml:space="preserve"> виновные в нарушении установленного режима, привлекаются к административной, уголовной и гражданско-правовой ответственности в соответствии с законодательством.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13. Границы и особенности режима особой охраны Памятника природы учитываются при разработке планов и перспектив</w:t>
      </w:r>
      <w:r>
        <w:rPr>
          <w:rFonts w:eastAsia="Times New Roman"/>
          <w:lang w:eastAsia="ru-RU"/>
        </w:rPr>
        <w:t xml:space="preserve"> экономического и социального развития, лесохозяйственных регламентов и проектов освоения лесов, подготовке документов территориального планирования, территориального и внутрихозяйственного охотустройства, проведении лесоустройства и инвентаризации земель.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val="en-US" w:eastAsia="ru-RU"/>
        </w:rPr>
        <w:t xml:space="preserve">IV</w:t>
      </w:r>
      <w:r>
        <w:rPr>
          <w:rFonts w:eastAsia="Times New Roman"/>
          <w:lang w:eastAsia="ru-RU"/>
        </w:rPr>
        <w:t xml:space="preserve">. Государственный учёт Памятника природы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14. Государственный учёт и инвентаризация Памятника природы осуществляется Министерством природных ресурсов и охраны окружающей среды Удмуртской Республики.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val="en-US" w:eastAsia="ru-RU"/>
        </w:rPr>
        <w:t xml:space="preserve">V</w:t>
      </w:r>
      <w:r>
        <w:rPr>
          <w:rFonts w:eastAsia="Times New Roman"/>
          <w:lang w:eastAsia="ru-RU"/>
        </w:rPr>
        <w:t xml:space="preserve">. Государственный контроль (надзор) в области охраны и использования Памятника природы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ind w:firstLine="709"/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15. </w:t>
      </w:r>
      <w:r>
        <w:rPr>
          <w:rFonts w:eastAsia="Times New Roman"/>
          <w:lang w:eastAsia="ru-RU"/>
        </w:rPr>
        <w:t xml:space="preserve">Государственный контроль (надзор) в области охраны и использования особо охраняемых природных территорий на территории Памятни</w:t>
      </w:r>
      <w:r>
        <w:rPr>
          <w:rFonts w:eastAsia="Times New Roman"/>
          <w:lang w:eastAsia="ru-RU"/>
        </w:rPr>
        <w:t xml:space="preserve">ка природы осуществляется Министерством природных ресурсов и охраны окружающей среды Удмуртской Республики при осуществлении им регионального государственного контроля (надзора) в соответствии с положением, утверждённым Правительством Удмуртской Республики</w:t>
      </w:r>
      <w:r>
        <w:rPr>
          <w:rFonts w:eastAsia="Times New Roman"/>
          <w:lang w:eastAsia="ru-RU"/>
        </w:rPr>
        <w:t xml:space="preserve">.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right="-143"/>
        <w:jc w:val="center"/>
        <w:tabs>
          <w:tab w:val="left" w:pos="1800" w:leader="none"/>
        </w:tabs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__________________</w:t>
      </w:r>
      <w:r>
        <w:rPr>
          <w:rFonts w:eastAsia="Times New Roman"/>
          <w:sz w:val="20"/>
          <w:szCs w:val="20"/>
          <w:lang w:eastAsia="ru-RU"/>
        </w:rPr>
        <w:fldChar w:fldCharType="end"/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  <w:ind w:right="-143"/>
        <w:tabs>
          <w:tab w:val="left" w:pos="1800" w:leader="none"/>
        </w:tabs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</w:r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  <w:sectPr>
          <w:footnotePr/>
          <w:endnotePr/>
          <w:type w:val="nextPage"/>
          <w:pgSz w:w="11906" w:h="16838" w:orient="portrait"/>
          <w:pgMar w:top="1135" w:right="566" w:bottom="1135" w:left="1701" w:header="709" w:footer="709" w:gutter="0"/>
          <w:pgNumType w:start="1"/>
          <w:cols w:num="1" w:sep="0" w:space="708" w:equalWidth="1"/>
          <w:docGrid w:linePitch="360"/>
          <w:titlePg/>
        </w:sectPr>
      </w:pPr>
      <w:r/>
      <w:r/>
    </w:p>
    <w:p>
      <w:pPr>
        <w:pStyle w:val="1001"/>
        <w:ind w:left="4536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Приложение 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left="4536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к Положению о памятнике природы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left="4536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регионального значения 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left="4536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«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lang w:eastAsia="ru-RU"/>
        </w:rPr>
        <w:t xml:space="preserve">Юровский мыс»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ind w:firstLine="504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b/>
          <w:lang w:eastAsia="ru-RU"/>
        </w:rPr>
        <w:t xml:space="preserve">ГРАНИЦЫ 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b/>
          <w:lang w:eastAsia="ru-RU"/>
        </w:rPr>
        <w:t xml:space="preserve">памятника природы регионального значения 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b/>
          <w:lang w:eastAsia="ru-RU"/>
        </w:rPr>
        <w:t xml:space="preserve">«Юровский мыс»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1. Перечень координат характерных точек границ памятника природы 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регионального значения «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lang w:eastAsia="ru-RU"/>
        </w:rPr>
        <w:t xml:space="preserve">Юровский мыс»</w:t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tbl>
      <w:tblPr>
        <w:tblW w:w="0" w:type="auto"/>
        <w:jc w:val="center"/>
        <w:tblInd w:w="0" w:type="dxa"/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1872"/>
        <w:gridCol w:w="3372"/>
        <w:gridCol w:w="3438"/>
      </w:tblGrid>
      <w:tr>
        <w:trPr>
          <w:trHeight w:val="4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center"/>
            <w:vMerge w:val="restart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eastAsia="Times New Roman"/>
                <w:sz w:val="20"/>
                <w:szCs w:val="20"/>
                <w:lang w:eastAsia="ru-RU"/>
              </w:rPr>
              <w:instrText xml:space="preserve">HYPERLINK "consultantplus://offline/ref=13F6ABCFDCFF1A73D8C1207AB1C7ED368C7AAA37129F62FE7F739756E0F4C697BEF3F73F6DE986C96E2879BE81214DBFCD9ABE828B20BA60L0oBK" </w:instrTex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eastAsia="Times New Roman"/>
                <w:lang w:eastAsia="ru-RU"/>
              </w:rPr>
              <w:t xml:space="preserve">Обозначение характерных точек границ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end"/>
            </w:r>
            <w:r>
              <w:rPr>
                <w:rFonts w:eastAsia="Times New Roman"/>
                <w:sz w:val="20"/>
                <w:szCs w:val="20"/>
                <w:lang w:eastAsia="ru-RU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6810" w:type="dxa"/>
            <w:vAlign w:val="center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eastAsia="Times New Roman"/>
                <w:sz w:val="20"/>
                <w:szCs w:val="20"/>
                <w:lang w:eastAsia="ru-RU"/>
              </w:rPr>
              <w:instrText xml:space="preserve">HYPERLINK "consultantplus://offline/ref=13F6ABCFDCFF1A73D8C1207AB1C7ED368C7AAA37129F62FE7F739756E0F4C697BEF3F73F6DE986C96E2879BE81214DBFCD9ABE828B20BA60L0oBK" </w:instrTex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eastAsia="Times New Roman"/>
                <w:lang w:eastAsia="ru-RU"/>
              </w:rPr>
              <w:t xml:space="preserve">Координаты (МСК-18), метры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end"/>
            </w:r>
            <w:r>
              <w:rPr>
                <w:rFonts w:eastAsia="Times New Roman"/>
                <w:sz w:val="20"/>
                <w:szCs w:val="20"/>
                <w:lang w:eastAsia="ru-RU"/>
              </w:rPr>
            </w:r>
            <w:r/>
          </w:p>
        </w:tc>
      </w:tr>
      <w:tr>
        <w:trPr>
          <w:trHeight w:val="5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center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eastAsia="Times New Roman"/>
                <w:sz w:val="20"/>
                <w:szCs w:val="20"/>
                <w:lang w:eastAsia="ru-RU"/>
              </w:rPr>
              <w:instrText xml:space="preserve">HYPERLINK "consultantplus://offline/ref=13F6ABCFDCFF1A73D8C1207AB1C7ED368C7AAA37129F62FE7F739756E0F4C697BEF3F73F6DE986C96E2879BE81214DBFCD9ABE828B20BA60L0oBK" </w:instrTex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eastAsia="Times New Roman"/>
                <w:lang w:val="en-US" w:eastAsia="ru-RU"/>
              </w:rPr>
              <w:t xml:space="preserve">X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end"/>
            </w:r>
            <w:r>
              <w:rPr>
                <w:rFonts w:eastAsia="Times New Roman"/>
                <w:sz w:val="20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center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eastAsia="Times New Roman"/>
                <w:sz w:val="20"/>
                <w:szCs w:val="20"/>
                <w:lang w:eastAsia="ru-RU"/>
              </w:rPr>
              <w:instrText xml:space="preserve">HYPERLINK "consultantplus://offline/ref=13F6ABCFDCFF1A73D8C1207AB1C7ED368C7AAA37129F62FE7F739756E0F4C697BEF3F73F6DE986C96E2879BE81214DBFCD9ABE828B20BA60L0oBK" </w:instrTex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eastAsia="Times New Roman"/>
                <w:lang w:val="en-US" w:eastAsia="ru-RU"/>
              </w:rPr>
              <w:t xml:space="preserve">Y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fldChar w:fldCharType="end"/>
            </w:r>
            <w:r>
              <w:rPr>
                <w:rFonts w:eastAsia="Times New Roman"/>
                <w:sz w:val="20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394356.50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2222054.64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394337.05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2222127.81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394335.50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2222142.11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394339.12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2222151.91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394350.82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2222168.45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394328.61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2222196.17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394293.20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2222261.20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394288.93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2222267.26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394264.73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2222284.84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394246.14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2222369.55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394248.89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2222442.55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394270.24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2222532.77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394315.01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2222603.72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394359.13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2222647.35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394395.42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2222682.40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394422.27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2222663.11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394420.21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2222655.53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394436.74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2222641.77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394453.27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2222666.55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394450.51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2222685.15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394436.74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2222698.92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394428.34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2222705.94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394422.28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2222713.40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394417.22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2222720.80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394411.16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2222727.77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394403.19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2222738.07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394398.56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2222747.55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394396.05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2222755.45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394393.44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2222762.88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394389.38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2222771.79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394385.31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2222780.79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394381.27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2222786.19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394376.77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2222792.19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394373.17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2222798.62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394371.12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2222805.01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394370.05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2222816.03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394367.98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2222826.38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394365.92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2222834.89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394361.27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2222846.81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394360.23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2222853.27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394358.63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2222859.28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394357.57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2222868.72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394356.49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2222880.17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394354.98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2222890.09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394353.35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2222901.53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394350.29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2222908.53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394345.23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2222915.93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394335.70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2222924.82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394325.05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2222936.15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394314.97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2222946.01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394308.67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2222955.60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394287.78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2222965.09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394270.42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2222981.38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394263.27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2222984.30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394254.20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2222990.71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394251.18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2222993.25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394229.42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2223000.97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394212.15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2223020.30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59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394205.11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2223022.56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394193.49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2223028.46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394182.99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2223034.30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394175.49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2223040.23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394168.42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2223048.10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394155.40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2223053.26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394142.66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2223065.66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394134.66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2223084.63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394131.59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2223095.58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394127.98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2223102.50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69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394125.49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2223108.46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394121.87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2223117.88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394120.78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2223131.83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394125.44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2223160.36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394124.06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2223175.52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394120.62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2223189.97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394106.16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2223194.10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394082.05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2223207.19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394068.85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2223222.42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394064.05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2223223.96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79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394051.08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2223231.80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394039.56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2223240.63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394031.93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2223249.05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394024.83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2223261.92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394020.29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2223273.84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394007.15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2223292.65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393998.04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2223306.48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393987.94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2223319.33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393978.39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2223332.68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393965.68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2223350.51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89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393954.12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2223365.85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393971.86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2223375.93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393975.99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2223401.41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393990.46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2223426.21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393986.32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2223435.15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393946.38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2223449.62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393926.82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2223453.50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393907.51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2223462.27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393904.17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2223461.52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393897.39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2223459.95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99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393883.92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2223460.30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393865.42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2223460.60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393854.97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2223459.00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393848.96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2223457.45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393842.53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2223454.42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393836.09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2223451.82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393827.62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2223451.28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393817.14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2223453.16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393771.10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2223476.82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393733.29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2223504.61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109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393723.80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2223507.96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393714.29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2223515.90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393709.68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2223522.31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393702.62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2223530.68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393698.15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2223533.15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393689.66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2223535.05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393679.19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2223535.96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393636.46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2223514.35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393622.69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2223499.90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393638.52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2223486.12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393660.56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2223484.74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393691.49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2223493.19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393705.69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2223466.95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393711.24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2223453.52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393714.85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2223445.08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393719.54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2223426.21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393734.25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2223407.61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393735.63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2223395.21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393739.76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2223375.93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393730.12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2223341.49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129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393714.28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2223298.79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393711.81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2223277.64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393718.32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2223269.21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393727.85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2223257.82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393741.71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2223233.83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393650.21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2222731.66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393637.49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2222677.23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393603.74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2222620.07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393583.77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2222593.89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393576.20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2222565.66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139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393587.91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2222559.46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393598.92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2222548.45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393598.23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2222537.43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393587.91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2222525.71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393593.41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2222514.00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393585.15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2222505.75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393589.97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2222495.41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393597.55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2222484.39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393583.09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2222476.81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393576.20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2222469.94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393547.96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2222478.88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393525.92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2222478.88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393519.03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2222489.90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393503.88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2222499.55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393483.22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2222507.12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393468.76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2222497.48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393458.43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2222476.81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393446.72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2222460.98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393439.83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2222456.16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393402.64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2222400.37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159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393391.62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2222390.05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393380.60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2222386.60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393353.74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2222376.96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393333.08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2222380.40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393326.20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2222374.89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393313.80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2222372.82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393302.09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2222365.94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393283.84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2222364.91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393273.16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2222349.75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393261.80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2222344.59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169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393246.31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2222339.77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393234.60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2222332.88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393225.64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2222316.35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393225.64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2222309.12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393221.17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2222300.51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393221.17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2222293.96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393220.48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2222283.29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393214.28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2222275.37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393215.31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2222259.19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393210.84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2222253.68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179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393204.64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2222240.94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393201.88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2222225.78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393195.69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2222217.87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393171.58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2222165.17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393190.18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2222119.73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393263.87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2222101.82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393341.00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2222110.08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393422.27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2222056.36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393551.40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2222010.56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393665.73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2221981.63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189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393741.49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2221985.76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393894.72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2221993.00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393918.83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2221975.09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393920.90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2221955.12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393906.43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2221939.97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393916.76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2221898.65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393943.97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2221839.76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394015.94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2221791.21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197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394094.45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2221784.32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394159.19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2221831.16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199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394183.98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2221906.91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200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394255.95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2221907.94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201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394311.05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2221939.62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202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394348.24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2221991.28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18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372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394356.50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right w:w="108" w:type="dxa"/>
            </w:tcMar>
            <w:tcW w:w="343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  <w:widowControl w:val="off"/>
              <w:rPr>
                <w:rFonts w:eastAsia="Times New Roman"/>
                <w:sz w:val="22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2222054.64</w:t>
            </w:r>
            <w:r>
              <w:rPr>
                <w:rFonts w:eastAsia="Times New Roman"/>
                <w:sz w:val="22"/>
                <w:szCs w:val="20"/>
                <w:lang w:eastAsia="ru-RU"/>
              </w:rPr>
            </w:r>
            <w:r/>
          </w:p>
        </w:tc>
      </w:tr>
    </w:tbl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2. План границ памятника природы регионального значения 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fldChar w:fldCharType="begin"/>
      </w:r>
      <w:r>
        <w:rPr>
          <w:rFonts w:eastAsia="Times New Roman"/>
          <w:sz w:val="20"/>
          <w:szCs w:val="20"/>
          <w:lang w:eastAsia="ru-RU"/>
        </w:rPr>
        <w:instrText xml:space="preserve">HYPERLINK "consultantplus://offline/ref=13F6ABCFDCFF1A73D8C1207AB1C7ED368C7AAA37129F62FE7F739756E0F4C697BEF3F73F6DE986C96E2879BE81214DBFCD9ABE828B20BA60L0oBK" </w:instrText>
      </w:r>
      <w:r>
        <w:rPr>
          <w:rFonts w:eastAsia="Times New Roman"/>
          <w:sz w:val="20"/>
          <w:szCs w:val="20"/>
          <w:lang w:eastAsia="ru-RU"/>
        </w:rPr>
        <w:fldChar w:fldCharType="separate"/>
      </w:r>
      <w:r>
        <w:rPr>
          <w:rFonts w:eastAsia="Times New Roman"/>
          <w:lang w:eastAsia="ru-RU"/>
        </w:rPr>
        <w:t xml:space="preserve">«Юровский мыс»</w:t>
      </w:r>
      <w:r>
        <w:rPr>
          <w:rFonts w:eastAsia="Times New Roman"/>
          <w:sz w:val="20"/>
          <w:szCs w:val="20"/>
          <w:lang w:eastAsia="ru-RU"/>
        </w:rPr>
        <w:fldChar w:fldCharType="end"/>
      </w:r>
      <w:r>
        <w:rPr>
          <w:rFonts w:eastAsia="Times New Roman"/>
          <w:sz w:val="20"/>
          <w:szCs w:val="20"/>
          <w:lang w:eastAsia="ru-RU"/>
        </w:rPr>
      </w:r>
      <w:r/>
    </w:p>
    <w:p>
      <w:pPr>
        <w:pStyle w:val="100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001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7176" cy="3548494"/>
                <wp:effectExtent l="0" t="0" r="0" b="0"/>
                <wp:docPr id="7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57176" cy="3548494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9.1pt;height:279.4pt;mso-wrap-distance-left:0.0pt;mso-wrap-distance-top:0.0pt;mso-wrap-distance-right:0.0pt;mso-wrap-distance-bottom:0.0pt;" strokecolor="#000000" strokeweight="8.00pt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1001"/>
        <w:jc w:val="center"/>
      </w:pPr>
      <w:r/>
      <w:r/>
    </w:p>
    <w:p>
      <w:pPr>
        <w:pStyle w:val="1001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8764" cy="4109161"/>
                <wp:effectExtent l="0" t="0" r="0" b="0"/>
                <wp:docPr id="8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58764" cy="4109161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9.2pt;height:323.6pt;mso-wrap-distance-left:0.0pt;mso-wrap-distance-top:0.0pt;mso-wrap-distance-right:0.0pt;mso-wrap-distance-bottom:0.0pt;" strokecolor="#000000" strokeweight="8.00pt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1001"/>
        <w:jc w:val="center"/>
      </w:pPr>
      <w:r/>
      <w:r/>
    </w:p>
    <w:p>
      <w:pPr>
        <w:pStyle w:val="1001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63895" cy="3399244"/>
                <wp:effectExtent l="0" t="0" r="0" b="0"/>
                <wp:docPr id="9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63895" cy="3399244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9.6pt;height:267.7pt;mso-wrap-distance-left:0.0pt;mso-wrap-distance-top:0.0pt;mso-wrap-distance-right:0.0pt;mso-wrap-distance-bottom:0.0pt;" strokecolor="#000000" strokeweight="8.00pt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8728" cy="3644583"/>
                <wp:effectExtent l="0" t="0" r="0" b="0"/>
                <wp:docPr id="10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78728" cy="3644583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0.8pt;height:287.0pt;mso-wrap-distance-left:0.0pt;mso-wrap-distance-top:0.0pt;mso-wrap-distance-right:0.0pt;mso-wrap-distance-bottom:0.0pt;" strokecolor="#000000" strokeweight="8.00pt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1001"/>
        <w:jc w:val="center"/>
      </w:pPr>
      <w:r/>
      <w:r/>
    </w:p>
    <w:p>
      <w:pPr>
        <w:pStyle w:val="1001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2137" cy="3846678"/>
                <wp:effectExtent l="0" t="0" r="0" b="0"/>
                <wp:docPr id="11" name="_x0000_i1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2137" cy="3846678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2pt;height:302.9pt;mso-wrap-distance-left:0.0pt;mso-wrap-distance-top:0.0pt;mso-wrap-distance-right:0.0pt;mso-wrap-distance-bottom:0.0pt;" strokecolor="#000000" strokeweight="8.00pt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/>
      <w:r/>
    </w:p>
    <w:p>
      <w:pPr>
        <w:pStyle w:val="1001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8837" cy="3656686"/>
                <wp:effectExtent l="0" t="0" r="0" b="0"/>
                <wp:docPr id="12" name="_x0000_i10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88837" cy="3656686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1.6pt;height:287.9pt;mso-wrap-distance-left:0.0pt;mso-wrap-distance-top:0.0pt;mso-wrap-distance-right:0.0pt;mso-wrap-distance-bottom:0.0pt;" strokecolor="#000000" strokeweight="8.00pt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1001"/>
        <w:jc w:val="center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122555</wp:posOffset>
                </wp:positionV>
                <wp:extent cx="314325" cy="0"/>
                <wp:effectExtent l="0" t="0" r="0" b="0"/>
                <wp:wrapNone/>
                <wp:docPr id="13" name="_x0000_s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432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style="position:absolute;z-index:251658246;o:allowoverlap:true;o:allowincell:true;mso-position-horizontal-relative:text;margin-left:124.2pt;mso-position-horizontal:absolute;mso-position-vertical-relative:text;margin-top:9.7pt;mso-position-vertical:absolute;width:24.8pt;height:0.0pt;mso-wrap-distance-left:9.0pt;mso-wrap-distance-top:0.0pt;mso-wrap-distance-right:9.0pt;mso-wrap-distance-bottom:0.0pt;visibility:visible;" path="m0,0l100000,100000ee" coordsize="100000,100000" filled="f" strokecolor="#FF0000" strokeweight="1.00pt">
                <v:path textboxrect="0,0,100000,100000"/>
              </v:shape>
            </w:pict>
          </mc:Fallback>
        </mc:AlternateContent>
      </w:r>
      <w:r>
        <w:t xml:space="preserve">  граница памятника природы</w:t>
      </w:r>
      <w:r/>
    </w:p>
    <w:p>
      <w:pPr>
        <w:pStyle w:val="1001"/>
        <w:jc w:val="center"/>
      </w:pPr>
      <w:r>
        <w:t xml:space="preserve">____________________</w:t>
      </w:r>
      <w:r/>
    </w:p>
    <w:p>
      <w:pPr>
        <w:pStyle w:val="1001"/>
        <w:jc w:val="center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pPr>
        <w:pStyle w:val="1001"/>
      </w:pP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pStyle w:val="1001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ПОЯСНИТЕЛЬНАЯ ЗАПИСКА</w:t>
      </w:r>
      <w:r>
        <w:rPr>
          <w:sz w:val="27"/>
          <w:szCs w:val="27"/>
        </w:rPr>
      </w:r>
    </w:p>
    <w:p>
      <w:pPr>
        <w:pStyle w:val="1001"/>
        <w:jc w:val="center"/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1001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к проекту постановления Правительства Удмуртской Республики </w:t>
      </w:r>
      <w:r>
        <w:rPr>
          <w:sz w:val="27"/>
          <w:szCs w:val="27"/>
        </w:rPr>
      </w:r>
    </w:p>
    <w:p>
      <w:pPr>
        <w:pStyle w:val="1001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«О памятнике природы регионального значения </w:t>
      </w:r>
      <w:r>
        <w:rPr>
          <w:sz w:val="27"/>
          <w:szCs w:val="27"/>
        </w:rPr>
      </w:r>
    </w:p>
    <w:p>
      <w:pPr>
        <w:pStyle w:val="1001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«Юровский мыс»</w:t>
      </w:r>
      <w:r>
        <w:rPr>
          <w:sz w:val="27"/>
          <w:szCs w:val="27"/>
        </w:rPr>
      </w:r>
    </w:p>
    <w:p>
      <w:pPr>
        <w:pStyle w:val="1001"/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1001"/>
        <w:ind w:left="0" w:righ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Постановлением Правительства Удмуртской Республики от 5 августа 2013 года № 354 «Об утверждении Схемы развития и размещения особо охраняемых природных территорий регионального значения, расположенных на территории города Ижевска, и о внесении изменений в не</w:t>
      </w:r>
      <w:r>
        <w:rPr>
          <w:sz w:val="27"/>
          <w:szCs w:val="27"/>
        </w:rPr>
        <w:t xml:space="preserve">которые нормативные правовые акты Совета Министров Удмуртской АССР и Правительства Удмуртской Республики» утверждена Схема развития и размещения особо охраняемых природных территорий регионального значения, расположенных на территории города Ижевска (далее </w:t>
      </w:r>
      <w:r>
        <w:rPr>
          <w:sz w:val="27"/>
          <w:szCs w:val="27"/>
        </w:rPr>
        <w:t xml:space="preserve">- Схема ООПТ г.Ижевска).</w:t>
      </w:r>
      <w:r>
        <w:rPr>
          <w:sz w:val="27"/>
          <w:szCs w:val="27"/>
        </w:rPr>
      </w:r>
    </w:p>
    <w:p>
      <w:pPr>
        <w:pStyle w:val="1001"/>
        <w:ind w:left="0" w:righ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Данным документом на территории города Ижевска запланировано создание памятника природы «Юровский мыс» (далее - Памятник природы) в западной части города Ижевска Удмуртской Республики, напротив устья реки Пазелинки.</w:t>
      </w:r>
      <w:r>
        <w:rPr>
          <w:sz w:val="27"/>
          <w:szCs w:val="27"/>
        </w:rPr>
      </w:r>
    </w:p>
    <w:p>
      <w:pPr>
        <w:pStyle w:val="1001"/>
        <w:ind w:left="0" w:righ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результатам исследований учёных ФГБОУ ВО «Удмуртский государственный университет» территория планируемого к созданию Памятника природы представлена уникальным флористическим комплексом сплавин с примыкающими старовозрастными лесными участками из липы, им</w:t>
      </w:r>
      <w:r>
        <w:rPr>
          <w:sz w:val="27"/>
          <w:szCs w:val="27"/>
        </w:rPr>
        <w:t xml:space="preserve">еющим ценные ресурсы клюквы болотной и локальные популяции редких и исчезающих видов растений, занесённых в Красную книгу УР.</w:t>
      </w:r>
      <w:r>
        <w:rPr>
          <w:sz w:val="27"/>
          <w:szCs w:val="27"/>
        </w:rPr>
      </w:r>
    </w:p>
    <w:p>
      <w:pPr>
        <w:pStyle w:val="1001"/>
        <w:ind w:left="0" w:righ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Настоящим проектом постановления, в целях реализации Схемы ООПТ г.Ижевска, участок заболоченного побережья Ижевского пруда в западной части города Ижевска Удмуртской Республики, напротив устья реки Пазелинки, объявляется памятником природы регионального зна</w:t>
      </w:r>
      <w:r>
        <w:rPr>
          <w:sz w:val="27"/>
          <w:szCs w:val="27"/>
        </w:rPr>
        <w:t xml:space="preserve">чения, утверждается Положение о Памятнике природы, которым устанавливаются его границы и режим особой охраны.</w:t>
      </w:r>
      <w:r>
        <w:rPr>
          <w:sz w:val="27"/>
          <w:szCs w:val="27"/>
        </w:rPr>
      </w:r>
    </w:p>
    <w:p>
      <w:pPr>
        <w:pStyle w:val="1001"/>
        <w:ind w:left="0" w:righ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Принятие настоящего постановления позволит сохранить уникальный природный комплекс, имеющий средоформирующее, ресурсоохранное, научно-познавательное значение, редкие элементы биоты, а также будет способствовать поддержанию природного экологического баланса,</w:t>
      </w:r>
      <w:r>
        <w:rPr>
          <w:sz w:val="27"/>
          <w:szCs w:val="27"/>
        </w:rPr>
        <w:t xml:space="preserve"> сохранению биологического разнообразия на территории города Ижевска и республики в целом.  </w:t>
      </w:r>
      <w:r>
        <w:rPr>
          <w:sz w:val="27"/>
          <w:szCs w:val="27"/>
        </w:rPr>
      </w:r>
    </w:p>
    <w:p>
      <w:pPr>
        <w:pStyle w:val="1001"/>
        <w:ind w:left="0" w:righ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Выделение дополнительных финансовых средств из бюджета Удмуртской Республики не потребуется.</w:t>
      </w:r>
      <w:r>
        <w:rPr>
          <w:sz w:val="27"/>
          <w:szCs w:val="27"/>
        </w:rPr>
      </w:r>
    </w:p>
    <w:p>
      <w:pPr>
        <w:pStyle w:val="1001"/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1001"/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1001"/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1001"/>
        <w:rPr>
          <w:sz w:val="27"/>
          <w:szCs w:val="27"/>
        </w:rPr>
      </w:pPr>
      <w:r>
        <w:rPr>
          <w:sz w:val="27"/>
          <w:szCs w:val="27"/>
        </w:rPr>
        <w:t xml:space="preserve">Министр природных ресурсов </w:t>
      </w:r>
      <w:r>
        <w:rPr>
          <w:sz w:val="27"/>
          <w:szCs w:val="27"/>
        </w:rPr>
      </w:r>
    </w:p>
    <w:p>
      <w:pPr>
        <w:pStyle w:val="1001"/>
        <w:rPr>
          <w:sz w:val="27"/>
          <w:szCs w:val="27"/>
        </w:rPr>
      </w:pPr>
      <w:r>
        <w:rPr>
          <w:sz w:val="27"/>
          <w:szCs w:val="27"/>
        </w:rPr>
        <w:t xml:space="preserve">и охраны окружающей среды </w:t>
        <w:tab/>
      </w:r>
      <w:r>
        <w:rPr>
          <w:sz w:val="27"/>
          <w:szCs w:val="27"/>
        </w:rPr>
      </w:r>
    </w:p>
    <w:p>
      <w:pPr>
        <w:pStyle w:val="1001"/>
        <w:rPr>
          <w:sz w:val="27"/>
          <w:szCs w:val="27"/>
        </w:rPr>
      </w:pPr>
      <w:r>
        <w:rPr>
          <w:sz w:val="27"/>
          <w:szCs w:val="27"/>
        </w:rPr>
        <w:t xml:space="preserve">Удмуртской Республики                                                                              </w:t>
      </w:r>
      <w:r>
        <w:rPr>
          <w:sz w:val="27"/>
          <w:szCs w:val="27"/>
        </w:rPr>
      </w:r>
      <w:r>
        <w:rPr>
          <w:sz w:val="27"/>
          <w:szCs w:val="27"/>
        </w:rPr>
        <w:t xml:space="preserve">Д.Н. Удалов</w:t>
      </w:r>
      <w:r>
        <w:rPr>
          <w:sz w:val="27"/>
          <w:szCs w:val="27"/>
        </w:rPr>
      </w:r>
      <w:r>
        <w:rPr>
          <w:sz w:val="27"/>
          <w:szCs w:val="27"/>
        </w:rPr>
      </w:r>
      <w:r>
        <w:rPr>
          <w:sz w:val="27"/>
          <w:szCs w:val="27"/>
        </w:rPr>
      </w:r>
    </w:p>
    <w:sectPr>
      <w:footnotePr/>
      <w:endnotePr/>
      <w:type w:val="nextPage"/>
      <w:pgSz w:w="11906" w:h="16838" w:orient="portrait"/>
      <w:pgMar w:top="1135" w:right="566" w:bottom="1135" w:left="1701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Tahoma">
    <w:panose1 w:val="020B0604030504040204"/>
  </w:font>
  <w:font w:name="Consolas">
    <w:panose1 w:val="020B0609020204030204"/>
  </w:font>
  <w:font w:name="Cambria">
    <w:panose1 w:val="0204050305040603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5"/>
      <w:rPr>
        <w:rFonts w:cs="Arial"/>
      </w:rPr>
    </w:pPr>
    <w:r>
      <w:rPr>
        <w:rFonts w:cs="Arial"/>
      </w:rPr>
    </w:r>
    <w:r/>
  </w:p>
  <w:tbl>
    <w:tblPr>
      <w:tblW w:w="0" w:type="auto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  <w:tblLook w:val="04A0" w:firstRow="1" w:lastRow="0" w:firstColumn="1" w:lastColumn="0" w:noHBand="0" w:noVBand="1"/>
    </w:tblPr>
    <w:tblGrid>
      <w:gridCol w:w="4928"/>
      <w:gridCol w:w="4927"/>
    </w:tblGrid>
    <w:tr>
      <w:trPr/>
      <w:tc>
        <w:tcPr>
          <w:tcW w:w="5069" w:type="dxa"/>
          <w:vAlign w:val="top"/>
          <w:textDirection w:val="lrTb"/>
          <w:noWrap w:val="false"/>
        </w:tcPr>
        <w:p>
          <w:pPr>
            <w:pStyle w:val="1043"/>
            <w:rPr>
              <w:rFonts w:cs="Arial"/>
              <w:szCs w:val="18"/>
            </w:rPr>
          </w:pPr>
          <w:r>
            <w:rPr>
              <w:rFonts w:cs="Arial"/>
              <w:szCs w:val="18"/>
            </w:rPr>
          </w:r>
          <w:r/>
        </w:p>
      </w:tc>
      <w:tc>
        <w:tcPr>
          <w:tcW w:w="5069" w:type="dxa"/>
          <w:vAlign w:val="top"/>
          <w:textDirection w:val="lrTb"/>
          <w:noWrap w:val="false"/>
        </w:tcPr>
        <w:p>
          <w:pPr>
            <w:pStyle w:val="1045"/>
            <w:jc w:val="right"/>
          </w:pPr>
          <w:r/>
          <w:r/>
        </w:p>
      </w:tc>
    </w:tr>
  </w:tbl>
  <w:p>
    <w:pPr>
      <w:pStyle w:val="1045"/>
      <w:rPr>
        <w:rFonts w:cs="Arial"/>
      </w:rPr>
    </w:pPr>
    <w:r>
      <w:rPr>
        <w:rFonts w:cs="Arial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5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</w:rPr>
      <w:t xml:space="preserve">5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</w:r>
    <w:r/>
  </w:p>
  <w:p>
    <w:pPr>
      <w:pStyle w:val="1043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</w:pPr>
    <w:r/>
    <w:r/>
  </w:p>
  <w:p>
    <w:pPr>
      <w:pStyle w:val="104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0"/>
      <w:numFmt w:val="decimal"/>
      <w:isLgl w:val="false"/>
      <w:suff w:val="tab"/>
      <w:lvlText w:val="*"/>
      <w:lvlJc w:val="left"/>
      <w:pPr>
        <w:pStyle w:val="1001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1.%1."/>
      <w:lvlJc w:val="left"/>
      <w:pPr>
        <w:pStyle w:val="1001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1001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1001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1001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1001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1001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1001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1001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1001"/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567" w:hanging="567"/>
        <w:tabs>
          <w:tab w:val="num" w:pos="567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"/>
      <w:lvlJc w:val="left"/>
      <w:pPr>
        <w:pStyle w:val="1001"/>
        <w:ind w:left="1134" w:hanging="1134"/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701" w:hanging="987"/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411" w:hanging="340"/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1768" w:hanging="340"/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2125" w:hanging="34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2482" w:hanging="34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2839" w:hanging="340"/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3196" w:hanging="34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pStyle w:val="1001"/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1001"/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1001"/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1001"/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1001"/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1001"/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1001"/>
        <w:ind w:left="4320" w:hanging="144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360" w:hanging="360"/>
        <w:tabs>
          <w:tab w:val="num" w:pos="360" w:leader="none"/>
        </w:tabs>
      </w:pPr>
      <w:rPr>
        <w:b/>
        <w:i w:val="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pStyle w:val="1001"/>
        <w:ind w:left="1224" w:hanging="504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1001"/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1001"/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1001"/>
        <w:ind w:left="2736" w:hanging="936"/>
        <w:tabs>
          <w:tab w:val="num" w:pos="360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1001"/>
        <w:ind w:left="3240" w:hanging="1080"/>
        <w:tabs>
          <w:tab w:val="num" w:pos="432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1001"/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1001"/>
        <w:ind w:left="4320" w:hanging="1440"/>
        <w:tabs>
          <w:tab w:val="num" w:pos="540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284" w:firstLine="0"/>
        <w:tabs>
          <w:tab w:val="num" w:pos="284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851" w:firstLine="0"/>
        <w:tabs>
          <w:tab w:val="num" w:pos="284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418" w:firstLine="0"/>
        <w:tabs>
          <w:tab w:val="num" w:pos="284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firstLine="0"/>
        <w:tabs>
          <w:tab w:val="num" w:pos="3119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firstLine="0"/>
        <w:tabs>
          <w:tab w:val="num" w:pos="3686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firstLine="0"/>
        <w:tabs>
          <w:tab w:val="num" w:pos="4253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firstLine="0"/>
        <w:tabs>
          <w:tab w:val="num" w:pos="482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firstLine="0"/>
        <w:tabs>
          <w:tab w:val="num" w:pos="5387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firstLine="0"/>
        <w:tabs>
          <w:tab w:val="num" w:pos="5954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04" w:hanging="180"/>
      </w:pPr>
    </w:lvl>
  </w:abstractNum>
  <w:abstractNum w:abstractNumId="20">
    <w:multiLevelType w:val="hybridMultilevel"/>
    <w:lvl w:ilvl="0">
      <w:start w:val="1"/>
      <w:numFmt w:val="decimal"/>
      <w:pStyle w:val="1032"/>
      <w:isLgl w:val="false"/>
      <w:suff w:val="tab"/>
      <w:lvlText w:val="%1."/>
      <w:lvlJc w:val="left"/>
      <w:pPr>
        <w:pStyle w:val="1001"/>
        <w:ind w:left="284" w:hanging="284"/>
        <w:tabs>
          <w:tab w:val="num" w:pos="0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992" w:hanging="425"/>
        <w:tabs>
          <w:tab w:val="num" w:pos="9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pStyle w:val="1001"/>
        <w:ind w:left="1701" w:hanging="567"/>
        <w:tabs>
          <w:tab w:val="num" w:pos="1701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hanging="284"/>
        <w:tabs>
          <w:tab w:val="num" w:pos="1701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hanging="284"/>
        <w:tabs>
          <w:tab w:val="num" w:pos="2268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hanging="284"/>
        <w:tabs>
          <w:tab w:val="num" w:pos="283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hanging="284"/>
        <w:tabs>
          <w:tab w:val="num" w:pos="340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hanging="284"/>
        <w:tabs>
          <w:tab w:val="num" w:pos="3969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hanging="284"/>
        <w:tabs>
          <w:tab w:val="num" w:pos="4536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284" w:firstLine="0"/>
        <w:tabs>
          <w:tab w:val="num" w:pos="284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851" w:firstLine="0"/>
        <w:tabs>
          <w:tab w:val="num" w:pos="284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418" w:firstLine="0"/>
        <w:tabs>
          <w:tab w:val="num" w:pos="284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firstLine="0"/>
        <w:tabs>
          <w:tab w:val="num" w:pos="3119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firstLine="0"/>
        <w:tabs>
          <w:tab w:val="num" w:pos="3686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firstLine="0"/>
        <w:tabs>
          <w:tab w:val="num" w:pos="4253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firstLine="0"/>
        <w:tabs>
          <w:tab w:val="num" w:pos="482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firstLine="0"/>
        <w:tabs>
          <w:tab w:val="num" w:pos="5387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firstLine="0"/>
        <w:tabs>
          <w:tab w:val="num" w:pos="5954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pStyle w:val="1001"/>
        <w:ind w:left="4995" w:hanging="4635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36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pStyle w:val="1001"/>
        <w:ind w:left="720" w:hanging="360"/>
        <w:tabs>
          <w:tab w:val="num" w:pos="72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pStyle w:val="1001"/>
        <w:ind w:left="1077" w:hanging="357"/>
        <w:tabs>
          <w:tab w:val="num" w:pos="1077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pStyle w:val="1001"/>
        <w:ind w:left="1435" w:hanging="355"/>
        <w:tabs>
          <w:tab w:val="num" w:pos="1435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pStyle w:val="1001"/>
        <w:ind w:left="1797" w:hanging="357"/>
        <w:tabs>
          <w:tab w:val="num" w:pos="1797" w:leader="none"/>
        </w:tabs>
      </w:pPr>
      <w:rPr>
        <w:rFonts w:ascii="Symbol" w:hAnsi="Symbol"/>
      </w:rPr>
    </w:lvl>
    <w:lvl w:ilvl="5">
      <w:start w:val="1"/>
      <w:numFmt w:val="decimal"/>
      <w:isLgl w:val="false"/>
      <w:suff w:val="tab"/>
      <w:lvlText w:val="%1.%2.%3.%4.%5.%6."/>
      <w:lvlJc w:val="left"/>
      <w:pPr>
        <w:pStyle w:val="1001"/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1001"/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1001"/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1001"/>
        <w:ind w:left="4320" w:hanging="1440"/>
        <w:tabs>
          <w:tab w:val="num" w:pos="504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284" w:hanging="284"/>
        <w:tabs>
          <w:tab w:val="num" w:pos="0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992" w:hanging="425"/>
        <w:tabs>
          <w:tab w:val="num" w:pos="992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701" w:hanging="567"/>
        <w:tabs>
          <w:tab w:val="num" w:pos="1701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hanging="284"/>
        <w:tabs>
          <w:tab w:val="num" w:pos="1701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hanging="284"/>
        <w:tabs>
          <w:tab w:val="num" w:pos="2268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hanging="284"/>
        <w:tabs>
          <w:tab w:val="num" w:pos="283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hanging="284"/>
        <w:tabs>
          <w:tab w:val="num" w:pos="340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hanging="284"/>
        <w:tabs>
          <w:tab w:val="num" w:pos="3969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hanging="284"/>
        <w:tabs>
          <w:tab w:val="num" w:pos="4536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284" w:firstLine="0"/>
        <w:tabs>
          <w:tab w:val="num" w:pos="284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851" w:firstLine="0"/>
        <w:tabs>
          <w:tab w:val="num" w:pos="1985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418" w:firstLine="0"/>
        <w:tabs>
          <w:tab w:val="num" w:pos="2552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firstLine="0"/>
        <w:tabs>
          <w:tab w:val="num" w:pos="3119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firstLine="0"/>
        <w:tabs>
          <w:tab w:val="num" w:pos="3686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firstLine="0"/>
        <w:tabs>
          <w:tab w:val="num" w:pos="4253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firstLine="0"/>
        <w:tabs>
          <w:tab w:val="num" w:pos="482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firstLine="0"/>
        <w:tabs>
          <w:tab w:val="num" w:pos="5387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firstLine="0"/>
        <w:tabs>
          <w:tab w:val="num" w:pos="5954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567" w:hanging="567"/>
        <w:tabs>
          <w:tab w:val="num" w:pos="567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"/>
      <w:lvlJc w:val="left"/>
      <w:pPr>
        <w:pStyle w:val="1001"/>
        <w:ind w:left="1134" w:hanging="1134"/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701" w:hanging="987"/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411" w:hanging="340"/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1768" w:hanging="340"/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2125" w:hanging="34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2482" w:hanging="34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2839" w:hanging="340"/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3196" w:hanging="34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001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1001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1001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1001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1001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1001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1001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1001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1001"/>
        <w:ind w:left="6480" w:hanging="360"/>
      </w:pPr>
      <w:rPr>
        <w:rFonts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pStyle w:val="1001"/>
        <w:ind w:left="0" w:firstLine="567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7047" w:hanging="180"/>
      </w:pPr>
    </w:lvl>
  </w:abstractNum>
  <w:abstractNum w:abstractNumId="30">
    <w:multiLevelType w:val="hybridMultilevel"/>
    <w:lvl w:ilvl="0">
      <w:start w:val="1"/>
      <w:numFmt w:val="decimal"/>
      <w:pStyle w:val="1042"/>
      <w:isLgl w:val="false"/>
      <w:suff w:val="tab"/>
      <w:lvlText w:val="%1."/>
      <w:lvlJc w:val="left"/>
      <w:pPr>
        <w:pStyle w:val="1001"/>
        <w:ind w:left="567" w:hanging="567"/>
        <w:tabs>
          <w:tab w:val="num" w:pos="567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"/>
      <w:lvlJc w:val="left"/>
      <w:pPr>
        <w:pStyle w:val="1001"/>
        <w:ind w:left="1134" w:hanging="1134"/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701" w:hanging="987"/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411" w:hanging="340"/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1768" w:hanging="340"/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2125" w:hanging="34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2482" w:hanging="34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2839" w:hanging="340"/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3196" w:hanging="34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1.%1."/>
      <w:lvlJc w:val="left"/>
      <w:pPr>
        <w:pStyle w:val="1001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32">
    <w:multiLevelType w:val="hybridMultilevel"/>
    <w:lvl w:ilvl="0">
      <w:start w:val="1"/>
      <w:numFmt w:val="bullet"/>
      <w:pStyle w:val="1033"/>
      <w:isLgl w:val="false"/>
      <w:suff w:val="tab"/>
      <w:lvlText w:val="●"/>
      <w:lvlJc w:val="left"/>
      <w:pPr>
        <w:pStyle w:val="1001"/>
        <w:ind w:left="709" w:hanging="284"/>
        <w:tabs>
          <w:tab w:val="num" w:pos="0" w:leader="none"/>
        </w:tabs>
      </w:pPr>
      <w:rPr>
        <w:rFonts w:ascii="Arial" w:hAnsi="Arial"/>
        <w:b w:val="0"/>
        <w:i w:val="0"/>
        <w:color w:val="000000"/>
        <w:sz w:val="20"/>
      </w:rPr>
    </w:lvl>
    <w:lvl w:ilvl="1">
      <w:start w:val="1"/>
      <w:numFmt w:val="bullet"/>
      <w:isLgl w:val="false"/>
      <w:suff w:val="tab"/>
      <w:lvlText w:val="●"/>
      <w:lvlJc w:val="left"/>
      <w:pPr>
        <w:pStyle w:val="1001"/>
        <w:ind w:left="1276" w:hanging="284"/>
        <w:tabs>
          <w:tab w:val="num" w:pos="992" w:leader="none"/>
        </w:tabs>
      </w:pPr>
      <w:rPr>
        <w:rFonts w:ascii="Arial" w:hAnsi="Arial"/>
        <w:color w:val="000000"/>
      </w:rPr>
    </w:lvl>
    <w:lvl w:ilvl="2">
      <w:start w:val="1"/>
      <w:numFmt w:val="bullet"/>
      <w:isLgl w:val="false"/>
      <w:suff w:val="tab"/>
      <w:lvlText w:val="●"/>
      <w:lvlJc w:val="left"/>
      <w:pPr>
        <w:pStyle w:val="1001"/>
        <w:ind w:left="1843" w:hanging="284"/>
        <w:tabs>
          <w:tab w:val="num" w:pos="1559" w:leader="none"/>
        </w:tabs>
      </w:pPr>
      <w:rPr>
        <w:rFonts w:ascii="Arial" w:hAnsi="Arial"/>
        <w:color w:val="000000"/>
      </w:rPr>
    </w:lvl>
    <w:lvl w:ilvl="3">
      <w:start w:val="1"/>
      <w:numFmt w:val="bullet"/>
      <w:isLgl w:val="false"/>
      <w:suff w:val="nothing"/>
      <w:lvlText w:val="●"/>
      <w:lvlJc w:val="left"/>
      <w:pPr>
        <w:pStyle w:val="1001"/>
        <w:ind w:left="2552" w:hanging="426"/>
      </w:pPr>
      <w:rPr>
        <w:rFonts w:ascii="Arial" w:hAnsi="Arial"/>
        <w:color w:val="000000"/>
      </w:rPr>
    </w:lvl>
    <w:lvl w:ilvl="4">
      <w:start w:val="1"/>
      <w:numFmt w:val="bullet"/>
      <w:isLgl w:val="false"/>
      <w:suff w:val="nothing"/>
      <w:lvlText w:val="●"/>
      <w:lvlJc w:val="left"/>
      <w:pPr>
        <w:pStyle w:val="1001"/>
        <w:ind w:left="3119" w:hanging="426"/>
      </w:pPr>
      <w:rPr>
        <w:rFonts w:ascii="Arial" w:hAnsi="Arial"/>
        <w:color w:val="000000"/>
      </w:rPr>
    </w:lvl>
    <w:lvl w:ilvl="5">
      <w:start w:val="1"/>
      <w:numFmt w:val="bullet"/>
      <w:isLgl w:val="false"/>
      <w:suff w:val="nothing"/>
      <w:lvlText w:val="●"/>
      <w:lvlJc w:val="left"/>
      <w:pPr>
        <w:pStyle w:val="1001"/>
        <w:ind w:left="3686" w:hanging="426"/>
      </w:pPr>
      <w:rPr>
        <w:rFonts w:ascii="Arial" w:hAnsi="Arial"/>
        <w:color w:val="000000"/>
      </w:rPr>
    </w:lvl>
    <w:lvl w:ilvl="6">
      <w:start w:val="1"/>
      <w:numFmt w:val="bullet"/>
      <w:isLgl w:val="false"/>
      <w:suff w:val="nothing"/>
      <w:lvlText w:val="●"/>
      <w:lvlJc w:val="left"/>
      <w:pPr>
        <w:pStyle w:val="1001"/>
        <w:ind w:left="4253" w:hanging="426"/>
      </w:pPr>
      <w:rPr>
        <w:rFonts w:ascii="Arial" w:hAnsi="Arial"/>
        <w:color w:val="000000"/>
      </w:rPr>
    </w:lvl>
    <w:lvl w:ilvl="7">
      <w:start w:val="1"/>
      <w:numFmt w:val="bullet"/>
      <w:isLgl w:val="false"/>
      <w:suff w:val="nothing"/>
      <w:lvlText w:val="●"/>
      <w:lvlJc w:val="left"/>
      <w:pPr>
        <w:pStyle w:val="1001"/>
        <w:ind w:left="4820" w:hanging="426"/>
      </w:pPr>
      <w:rPr>
        <w:rFonts w:ascii="Arial" w:hAnsi="Arial"/>
        <w:color w:val="000000"/>
      </w:rPr>
    </w:lvl>
    <w:lvl w:ilvl="8">
      <w:start w:val="1"/>
      <w:numFmt w:val="bullet"/>
      <w:isLgl w:val="false"/>
      <w:suff w:val="nothing"/>
      <w:lvlText w:val="●"/>
      <w:lvlJc w:val="left"/>
      <w:pPr>
        <w:pStyle w:val="1001"/>
        <w:ind w:left="5387" w:hanging="426"/>
      </w:pPr>
      <w:rPr>
        <w:rFonts w:ascii="Arial" w:hAnsi="Arial"/>
        <w:color w:val="000000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pStyle w:val="1001"/>
        <w:ind w:left="284" w:hanging="284"/>
        <w:tabs>
          <w:tab w:val="num" w:pos="284" w:leader="none"/>
        </w:tabs>
      </w:pPr>
      <w:rPr>
        <w:rFonts w:ascii="Courier New" w:hAnsi="Courier New"/>
      </w:rPr>
    </w:lvl>
    <w:lvl w:ilvl="1">
      <w:start w:val="1"/>
      <w:numFmt w:val="bullet"/>
      <w:isLgl w:val="false"/>
      <w:suff w:val="tab"/>
      <w:lvlText w:val="o"/>
      <w:lvlJc w:val="left"/>
      <w:pPr>
        <w:pStyle w:val="1001"/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1001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1001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1001"/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1001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1001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1001"/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1001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284" w:firstLine="0"/>
        <w:tabs>
          <w:tab w:val="num" w:pos="284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851" w:firstLine="0"/>
        <w:tabs>
          <w:tab w:val="num" w:pos="284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418" w:firstLine="0"/>
        <w:tabs>
          <w:tab w:val="num" w:pos="284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firstLine="0"/>
        <w:tabs>
          <w:tab w:val="num" w:pos="3119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firstLine="0"/>
        <w:tabs>
          <w:tab w:val="num" w:pos="3686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firstLine="0"/>
        <w:tabs>
          <w:tab w:val="num" w:pos="4253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firstLine="0"/>
        <w:tabs>
          <w:tab w:val="num" w:pos="482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firstLine="0"/>
        <w:tabs>
          <w:tab w:val="num" w:pos="5387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firstLine="0"/>
        <w:tabs>
          <w:tab w:val="num" w:pos="5954" w:leader="none"/>
        </w:tabs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pStyle w:val="1001"/>
        <w:ind w:left="284" w:hanging="284"/>
        <w:tabs>
          <w:tab w:val="num" w:pos="0" w:leader="none"/>
        </w:tabs>
      </w:pPr>
      <w:rPr>
        <w:rFonts w:ascii="Arial" w:hAnsi="Arial"/>
        <w:color w:val="000000"/>
        <w:sz w:val="20"/>
      </w:rPr>
    </w:lvl>
    <w:lvl w:ilvl="1">
      <w:start w:val="1"/>
      <w:numFmt w:val="bullet"/>
      <w:isLgl w:val="false"/>
      <w:suff w:val="tab"/>
      <w:lvlText w:val="●"/>
      <w:lvlJc w:val="left"/>
      <w:pPr>
        <w:pStyle w:val="1001"/>
        <w:ind w:left="851" w:hanging="284"/>
        <w:tabs>
          <w:tab w:val="num" w:pos="851" w:leader="none"/>
        </w:tabs>
      </w:pPr>
      <w:rPr>
        <w:rFonts w:ascii="Arial" w:hAnsi="Arial"/>
        <w:color w:val="000000"/>
      </w:rPr>
    </w:lvl>
    <w:lvl w:ilvl="2">
      <w:start w:val="1"/>
      <w:numFmt w:val="bullet"/>
      <w:isLgl w:val="false"/>
      <w:suff w:val="tab"/>
      <w:lvlText w:val="●"/>
      <w:lvlJc w:val="left"/>
      <w:pPr>
        <w:pStyle w:val="1001"/>
        <w:ind w:left="1418" w:hanging="284"/>
        <w:tabs>
          <w:tab w:val="num" w:pos="1418" w:leader="none"/>
        </w:tabs>
      </w:pPr>
      <w:rPr>
        <w:rFonts w:ascii="Arial" w:hAnsi="Arial"/>
        <w:color w:val="000000"/>
      </w:r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hanging="284"/>
        <w:tabs>
          <w:tab w:val="num" w:pos="1701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hanging="284"/>
        <w:tabs>
          <w:tab w:val="num" w:pos="2268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hanging="284"/>
        <w:tabs>
          <w:tab w:val="num" w:pos="283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hanging="284"/>
        <w:tabs>
          <w:tab w:val="num" w:pos="340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hanging="284"/>
        <w:tabs>
          <w:tab w:val="num" w:pos="3969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hanging="284"/>
        <w:tabs>
          <w:tab w:val="num" w:pos="4536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360" w:hanging="360"/>
        <w:tabs>
          <w:tab w:val="num" w:pos="36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1.%1."/>
      <w:lvlJc w:val="left"/>
      <w:pPr>
        <w:pStyle w:val="1001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00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00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00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00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00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001"/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001"/>
        <w:ind w:left="284" w:hanging="284"/>
        <w:tabs>
          <w:tab w:val="num" w:pos="0" w:leader="none"/>
        </w:tabs>
      </w:pPr>
      <w:rPr>
        <w:rFonts w:ascii="Arial" w:hAnsi="Arial"/>
        <w:sz w:val="20"/>
      </w:rPr>
    </w:lvl>
    <w:lvl w:ilvl="1">
      <w:start w:val="1"/>
      <w:numFmt w:val="decimal"/>
      <w:isLgl w:val="false"/>
      <w:suff w:val="tab"/>
      <w:lvlText w:val="%1.%2."/>
      <w:lvlJc w:val="left"/>
      <w:pPr>
        <w:pStyle w:val="1001"/>
        <w:ind w:left="992" w:hanging="425"/>
        <w:tabs>
          <w:tab w:val="num" w:pos="992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pStyle w:val="1001"/>
        <w:ind w:left="1701" w:hanging="567"/>
        <w:tabs>
          <w:tab w:val="num" w:pos="1701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hanging="284"/>
        <w:tabs>
          <w:tab w:val="num" w:pos="1701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hanging="284"/>
        <w:tabs>
          <w:tab w:val="num" w:pos="2268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hanging="284"/>
        <w:tabs>
          <w:tab w:val="num" w:pos="283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hanging="284"/>
        <w:tabs>
          <w:tab w:val="num" w:pos="340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hanging="284"/>
        <w:tabs>
          <w:tab w:val="num" w:pos="3969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hanging="284"/>
        <w:tabs>
          <w:tab w:val="num" w:pos="4536" w:leader="none"/>
        </w:tabs>
      </w:p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pStyle w:val="1001"/>
        <w:ind w:left="284" w:hanging="284"/>
        <w:tabs>
          <w:tab w:val="num" w:pos="0" w:leader="none"/>
        </w:tabs>
      </w:pPr>
      <w:rPr>
        <w:rFonts w:ascii="Arial" w:hAnsi="Arial"/>
        <w:color w:val="000000"/>
        <w:sz w:val="20"/>
      </w:rPr>
    </w:lvl>
    <w:lvl w:ilvl="1">
      <w:start w:val="1"/>
      <w:numFmt w:val="bullet"/>
      <w:isLgl w:val="false"/>
      <w:suff w:val="tab"/>
      <w:lvlText w:val="●"/>
      <w:lvlJc w:val="left"/>
      <w:pPr>
        <w:pStyle w:val="1001"/>
        <w:ind w:left="851" w:hanging="284"/>
        <w:tabs>
          <w:tab w:val="num" w:pos="851" w:leader="none"/>
        </w:tabs>
      </w:pPr>
      <w:rPr>
        <w:rFonts w:ascii="Arial" w:hAnsi="Arial"/>
        <w:color w:val="000000"/>
      </w:rPr>
    </w:lvl>
    <w:lvl w:ilvl="2">
      <w:start w:val="1"/>
      <w:numFmt w:val="bullet"/>
      <w:isLgl w:val="false"/>
      <w:suff w:val="tab"/>
      <w:lvlText w:val="●"/>
      <w:lvlJc w:val="left"/>
      <w:pPr>
        <w:pStyle w:val="1001"/>
        <w:ind w:left="1418" w:hanging="284"/>
        <w:tabs>
          <w:tab w:val="num" w:pos="1418" w:leader="none"/>
        </w:tabs>
      </w:pPr>
      <w:rPr>
        <w:rFonts w:ascii="Arial" w:hAnsi="Arial"/>
        <w:color w:val="000000"/>
      </w:rPr>
    </w:lvl>
    <w:lvl w:ilvl="3">
      <w:start w:val="1"/>
      <w:numFmt w:val="decimal"/>
      <w:isLgl w:val="false"/>
      <w:suff w:val="tab"/>
      <w:lvlText w:val="(%4)"/>
      <w:lvlJc w:val="left"/>
      <w:pPr>
        <w:pStyle w:val="1001"/>
        <w:ind w:left="1985" w:hanging="284"/>
        <w:tabs>
          <w:tab w:val="num" w:pos="1701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pStyle w:val="1001"/>
        <w:ind w:left="2552" w:hanging="284"/>
        <w:tabs>
          <w:tab w:val="num" w:pos="2268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pStyle w:val="1001"/>
        <w:ind w:left="3119" w:hanging="284"/>
        <w:tabs>
          <w:tab w:val="num" w:pos="283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1001"/>
        <w:ind w:left="3686" w:hanging="284"/>
        <w:tabs>
          <w:tab w:val="num" w:pos="340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1001"/>
        <w:ind w:left="4253" w:hanging="284"/>
        <w:tabs>
          <w:tab w:val="num" w:pos="3969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pStyle w:val="1001"/>
        <w:ind w:left="4820" w:hanging="284"/>
        <w:tabs>
          <w:tab w:val="num" w:pos="4536" w:leader="none"/>
        </w:tabs>
      </w:pPr>
    </w:lvl>
  </w:abstractNum>
  <w:num w:numId="1">
    <w:abstractNumId w:val="17"/>
  </w:num>
  <w:num w:numId="2">
    <w:abstractNumId w:val="17"/>
  </w:num>
  <w:num w:numId="3">
    <w:abstractNumId w:val="29"/>
  </w:num>
  <w:num w:numId="4">
    <w:abstractNumId w:val="2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3"/>
  </w:num>
  <w:num w:numId="16">
    <w:abstractNumId w:val="8"/>
  </w:num>
  <w:num w:numId="17">
    <w:abstractNumId w:val="9"/>
  </w:num>
  <w:num w:numId="18">
    <w:abstractNumId w:val="36"/>
  </w:num>
  <w:num w:numId="19">
    <w:abstractNumId w:val="11"/>
  </w:num>
  <w:num w:numId="20">
    <w:abstractNumId w:val="13"/>
  </w:num>
  <w:num w:numId="21">
    <w:abstractNumId w:val="14"/>
  </w:num>
  <w:num w:numId="22">
    <w:abstractNumId w:val="37"/>
  </w:num>
  <w:num w:numId="23">
    <w:abstractNumId w:val="16"/>
  </w:num>
  <w:num w:numId="24">
    <w:abstractNumId w:val="26"/>
  </w:num>
  <w:num w:numId="25">
    <w:abstractNumId w:val="22"/>
  </w:num>
  <w:num w:numId="26">
    <w:abstractNumId w:val="18"/>
  </w:num>
  <w:num w:numId="27">
    <w:abstractNumId w:val="34"/>
  </w:num>
  <w:num w:numId="28">
    <w:abstractNumId w:val="25"/>
  </w:num>
  <w:num w:numId="29">
    <w:abstractNumId w:val="39"/>
    <w:lvlOverride w:ilvl="0">
      <w:lvl w:ilvl="0">
        <w:start w:val="0"/>
        <w:numFmt w:val="decimal"/>
        <w:isLgl w:val="false"/>
        <w:suff w:val="tab"/>
        <w:lvlText w:val=""/>
        <w:lvlJc w:val="left"/>
        <w:pPr>
          <w:pStyle w:val="1001"/>
        </w:p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>
          <w:pStyle w:val="1001"/>
          <w:ind w:left="992" w:hanging="425"/>
          <w:tabs>
            <w:tab w:val="num" w:pos="992" w:leader="none"/>
          </w:tabs>
        </w:pPr>
      </w:lvl>
    </w:lvlOverride>
  </w:num>
  <w:num w:numId="30">
    <w:abstractNumId w:val="25"/>
  </w:num>
  <w:num w:numId="31">
    <w:abstractNumId w:val="20"/>
  </w:num>
  <w:num w:numId="32">
    <w:abstractNumId w:val="40"/>
  </w:num>
  <w:num w:numId="33">
    <w:abstractNumId w:val="35"/>
  </w:num>
  <w:num w:numId="34">
    <w:abstractNumId w:val="12"/>
  </w:num>
  <w:num w:numId="35">
    <w:abstractNumId w:val="31"/>
  </w:num>
  <w:num w:numId="36">
    <w:abstractNumId w:val="10"/>
    <w:lvlOverride w:ilvl="0">
      <w:lvl w:ilvl="0">
        <w:start w:val="1"/>
        <w:numFmt w:val="bullet"/>
        <w:isLgl w:val="false"/>
        <w:suff w:val="tab"/>
        <w:lvlText w:val=""/>
        <w:legacy w:legacy="1" w:legacyIndent="0" w:legacySpace="0"/>
        <w:lvlJc w:val="left"/>
        <w:pPr>
          <w:pStyle w:val="1001"/>
          <w:ind w:left="283" w:hanging="283"/>
        </w:pPr>
        <w:rPr>
          <w:rFonts w:ascii="Symbol" w:hAnsi="Symbol"/>
        </w:rPr>
      </w:lvl>
    </w:lvlOverride>
  </w:num>
  <w:num w:numId="37">
    <w:abstractNumId w:val="19"/>
  </w:num>
  <w:num w:numId="38">
    <w:abstractNumId w:val="38"/>
  </w:num>
  <w:num w:numId="39">
    <w:abstractNumId w:val="21"/>
  </w:num>
  <w:num w:numId="40">
    <w:abstractNumId w:val="15"/>
  </w:num>
  <w:num w:numId="41">
    <w:abstractNumId w:val="30"/>
  </w:num>
  <w:num w:numId="42">
    <w:abstractNumId w:val="27"/>
  </w:num>
  <w:num w:numId="43">
    <w:abstractNumId w:val="32"/>
  </w:num>
  <w:num w:numId="44">
    <w:abstractNumId w:val="33"/>
  </w:num>
  <w:num w:numId="45">
    <w:abstractNumId w:val="33"/>
  </w:num>
  <w:num w:numId="46">
    <w:abstractNumId w:val="28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23">
    <w:name w:val="Heading 1"/>
    <w:basedOn w:val="1001"/>
    <w:next w:val="1001"/>
    <w:link w:val="82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24">
    <w:name w:val="Heading 1 Char"/>
    <w:link w:val="823"/>
    <w:uiPriority w:val="9"/>
    <w:rPr>
      <w:rFonts w:ascii="Arial" w:hAnsi="Arial" w:eastAsia="Arial" w:cs="Arial"/>
      <w:sz w:val="40"/>
      <w:szCs w:val="40"/>
    </w:rPr>
  </w:style>
  <w:style w:type="paragraph" w:styleId="825">
    <w:name w:val="Heading 2"/>
    <w:basedOn w:val="1001"/>
    <w:next w:val="1001"/>
    <w:link w:val="82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6">
    <w:name w:val="Heading 2 Char"/>
    <w:link w:val="825"/>
    <w:uiPriority w:val="9"/>
    <w:rPr>
      <w:rFonts w:ascii="Arial" w:hAnsi="Arial" w:eastAsia="Arial" w:cs="Arial"/>
      <w:sz w:val="34"/>
    </w:rPr>
  </w:style>
  <w:style w:type="paragraph" w:styleId="827">
    <w:name w:val="Heading 3"/>
    <w:basedOn w:val="1001"/>
    <w:next w:val="1001"/>
    <w:link w:val="82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28">
    <w:name w:val="Heading 3 Char"/>
    <w:link w:val="827"/>
    <w:uiPriority w:val="9"/>
    <w:rPr>
      <w:rFonts w:ascii="Arial" w:hAnsi="Arial" w:eastAsia="Arial" w:cs="Arial"/>
      <w:sz w:val="30"/>
      <w:szCs w:val="30"/>
    </w:rPr>
  </w:style>
  <w:style w:type="paragraph" w:styleId="829">
    <w:name w:val="Heading 4"/>
    <w:basedOn w:val="1001"/>
    <w:next w:val="1001"/>
    <w:link w:val="83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0">
    <w:name w:val="Heading 4 Char"/>
    <w:link w:val="829"/>
    <w:uiPriority w:val="9"/>
    <w:rPr>
      <w:rFonts w:ascii="Arial" w:hAnsi="Arial" w:eastAsia="Arial" w:cs="Arial"/>
      <w:b/>
      <w:bCs/>
      <w:sz w:val="26"/>
      <w:szCs w:val="26"/>
    </w:rPr>
  </w:style>
  <w:style w:type="paragraph" w:styleId="831">
    <w:name w:val="Heading 5"/>
    <w:basedOn w:val="1001"/>
    <w:next w:val="1001"/>
    <w:link w:val="83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2">
    <w:name w:val="Heading 5 Char"/>
    <w:link w:val="831"/>
    <w:uiPriority w:val="9"/>
    <w:rPr>
      <w:rFonts w:ascii="Arial" w:hAnsi="Arial" w:eastAsia="Arial" w:cs="Arial"/>
      <w:b/>
      <w:bCs/>
      <w:sz w:val="24"/>
      <w:szCs w:val="24"/>
    </w:rPr>
  </w:style>
  <w:style w:type="paragraph" w:styleId="833">
    <w:name w:val="Heading 6"/>
    <w:basedOn w:val="1001"/>
    <w:next w:val="1001"/>
    <w:link w:val="83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4">
    <w:name w:val="Heading 6 Char"/>
    <w:link w:val="833"/>
    <w:uiPriority w:val="9"/>
    <w:rPr>
      <w:rFonts w:ascii="Arial" w:hAnsi="Arial" w:eastAsia="Arial" w:cs="Arial"/>
      <w:b/>
      <w:bCs/>
      <w:sz w:val="22"/>
      <w:szCs w:val="22"/>
    </w:rPr>
  </w:style>
  <w:style w:type="paragraph" w:styleId="835">
    <w:name w:val="Heading 7"/>
    <w:basedOn w:val="1001"/>
    <w:next w:val="1001"/>
    <w:link w:val="83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6">
    <w:name w:val="Heading 7 Char"/>
    <w:link w:val="83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7">
    <w:name w:val="Heading 8"/>
    <w:basedOn w:val="1001"/>
    <w:next w:val="1001"/>
    <w:link w:val="83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8">
    <w:name w:val="Heading 8 Char"/>
    <w:link w:val="837"/>
    <w:uiPriority w:val="9"/>
    <w:rPr>
      <w:rFonts w:ascii="Arial" w:hAnsi="Arial" w:eastAsia="Arial" w:cs="Arial"/>
      <w:i/>
      <w:iCs/>
      <w:sz w:val="22"/>
      <w:szCs w:val="22"/>
    </w:rPr>
  </w:style>
  <w:style w:type="paragraph" w:styleId="839">
    <w:name w:val="Heading 9"/>
    <w:basedOn w:val="1001"/>
    <w:next w:val="1001"/>
    <w:link w:val="84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0">
    <w:name w:val="Heading 9 Char"/>
    <w:link w:val="839"/>
    <w:uiPriority w:val="9"/>
    <w:rPr>
      <w:rFonts w:ascii="Arial" w:hAnsi="Arial" w:eastAsia="Arial" w:cs="Arial"/>
      <w:i/>
      <w:iCs/>
      <w:sz w:val="21"/>
      <w:szCs w:val="21"/>
    </w:rPr>
  </w:style>
  <w:style w:type="paragraph" w:styleId="841">
    <w:name w:val="List Paragraph"/>
    <w:basedOn w:val="1001"/>
    <w:uiPriority w:val="34"/>
    <w:qFormat/>
    <w:pPr>
      <w:contextualSpacing/>
      <w:ind w:left="720"/>
    </w:pPr>
  </w:style>
  <w:style w:type="paragraph" w:styleId="842">
    <w:name w:val="No Spacing"/>
    <w:uiPriority w:val="1"/>
    <w:qFormat/>
    <w:pPr>
      <w:spacing w:before="0" w:after="0" w:line="240" w:lineRule="auto"/>
    </w:pPr>
  </w:style>
  <w:style w:type="paragraph" w:styleId="843">
    <w:name w:val="Title"/>
    <w:basedOn w:val="1001"/>
    <w:next w:val="1001"/>
    <w:link w:val="84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4">
    <w:name w:val="Title Char"/>
    <w:link w:val="843"/>
    <w:uiPriority w:val="10"/>
    <w:rPr>
      <w:sz w:val="48"/>
      <w:szCs w:val="48"/>
    </w:rPr>
  </w:style>
  <w:style w:type="paragraph" w:styleId="845">
    <w:name w:val="Subtitle"/>
    <w:basedOn w:val="1001"/>
    <w:next w:val="1001"/>
    <w:link w:val="846"/>
    <w:uiPriority w:val="11"/>
    <w:qFormat/>
    <w:pPr>
      <w:spacing w:before="200" w:after="200"/>
    </w:pPr>
    <w:rPr>
      <w:sz w:val="24"/>
      <w:szCs w:val="24"/>
    </w:rPr>
  </w:style>
  <w:style w:type="character" w:styleId="846">
    <w:name w:val="Subtitle Char"/>
    <w:link w:val="845"/>
    <w:uiPriority w:val="11"/>
    <w:rPr>
      <w:sz w:val="24"/>
      <w:szCs w:val="24"/>
    </w:rPr>
  </w:style>
  <w:style w:type="paragraph" w:styleId="847">
    <w:name w:val="Quote"/>
    <w:basedOn w:val="1001"/>
    <w:next w:val="1001"/>
    <w:link w:val="848"/>
    <w:uiPriority w:val="29"/>
    <w:qFormat/>
    <w:pPr>
      <w:ind w:left="720" w:right="720"/>
    </w:pPr>
    <w:rPr>
      <w:i/>
    </w:rPr>
  </w:style>
  <w:style w:type="character" w:styleId="848">
    <w:name w:val="Quote Char"/>
    <w:link w:val="847"/>
    <w:uiPriority w:val="29"/>
    <w:rPr>
      <w:i/>
    </w:rPr>
  </w:style>
  <w:style w:type="paragraph" w:styleId="849">
    <w:name w:val="Intense Quote"/>
    <w:basedOn w:val="1001"/>
    <w:next w:val="1001"/>
    <w:link w:val="85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0">
    <w:name w:val="Intense Quote Char"/>
    <w:link w:val="849"/>
    <w:uiPriority w:val="30"/>
    <w:rPr>
      <w:i/>
    </w:rPr>
  </w:style>
  <w:style w:type="paragraph" w:styleId="851">
    <w:name w:val="Header"/>
    <w:basedOn w:val="1001"/>
    <w:link w:val="85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2">
    <w:name w:val="Header Char"/>
    <w:link w:val="851"/>
    <w:uiPriority w:val="99"/>
  </w:style>
  <w:style w:type="paragraph" w:styleId="853">
    <w:name w:val="Footer"/>
    <w:basedOn w:val="1001"/>
    <w:link w:val="85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4">
    <w:name w:val="Footer Char"/>
    <w:link w:val="853"/>
    <w:uiPriority w:val="99"/>
  </w:style>
  <w:style w:type="paragraph" w:styleId="855">
    <w:name w:val="Caption"/>
    <w:basedOn w:val="1001"/>
    <w:next w:val="100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6">
    <w:name w:val="Caption Char"/>
    <w:basedOn w:val="855"/>
    <w:link w:val="853"/>
    <w:uiPriority w:val="99"/>
  </w:style>
  <w:style w:type="table" w:styleId="857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8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9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0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1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2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4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6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7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8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89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0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1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2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3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94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95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96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7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8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9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0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1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2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3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04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5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6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1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2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23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24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25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26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7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2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3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4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5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6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7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8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49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0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1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2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53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54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55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56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57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58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59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60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61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62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3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4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5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6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7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8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9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0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1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2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3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4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5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6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7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8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79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0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1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2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83">
    <w:name w:val="Hyperlink"/>
    <w:uiPriority w:val="99"/>
    <w:unhideWhenUsed/>
    <w:rPr>
      <w:color w:val="0000ff" w:themeColor="hyperlink"/>
      <w:u w:val="single"/>
    </w:rPr>
  </w:style>
  <w:style w:type="paragraph" w:styleId="984">
    <w:name w:val="footnote text"/>
    <w:basedOn w:val="1001"/>
    <w:link w:val="985"/>
    <w:uiPriority w:val="99"/>
    <w:semiHidden/>
    <w:unhideWhenUsed/>
    <w:pPr>
      <w:spacing w:after="40" w:line="240" w:lineRule="auto"/>
    </w:pPr>
    <w:rPr>
      <w:sz w:val="18"/>
    </w:rPr>
  </w:style>
  <w:style w:type="character" w:styleId="985">
    <w:name w:val="Footnote Text Char"/>
    <w:link w:val="984"/>
    <w:uiPriority w:val="99"/>
    <w:rPr>
      <w:sz w:val="18"/>
    </w:rPr>
  </w:style>
  <w:style w:type="character" w:styleId="986">
    <w:name w:val="footnote reference"/>
    <w:uiPriority w:val="99"/>
    <w:unhideWhenUsed/>
    <w:rPr>
      <w:vertAlign w:val="superscript"/>
    </w:rPr>
  </w:style>
  <w:style w:type="paragraph" w:styleId="987">
    <w:name w:val="endnote text"/>
    <w:basedOn w:val="1001"/>
    <w:link w:val="988"/>
    <w:uiPriority w:val="99"/>
    <w:semiHidden/>
    <w:unhideWhenUsed/>
    <w:pPr>
      <w:spacing w:after="0" w:line="240" w:lineRule="auto"/>
    </w:pPr>
    <w:rPr>
      <w:sz w:val="20"/>
    </w:rPr>
  </w:style>
  <w:style w:type="character" w:styleId="988">
    <w:name w:val="Endnote Text Char"/>
    <w:link w:val="987"/>
    <w:uiPriority w:val="99"/>
    <w:rPr>
      <w:sz w:val="20"/>
    </w:rPr>
  </w:style>
  <w:style w:type="character" w:styleId="989">
    <w:name w:val="endnote reference"/>
    <w:uiPriority w:val="99"/>
    <w:semiHidden/>
    <w:unhideWhenUsed/>
    <w:rPr>
      <w:vertAlign w:val="superscript"/>
    </w:rPr>
  </w:style>
  <w:style w:type="paragraph" w:styleId="990">
    <w:name w:val="toc 1"/>
    <w:basedOn w:val="1001"/>
    <w:next w:val="1001"/>
    <w:uiPriority w:val="39"/>
    <w:unhideWhenUsed/>
    <w:pPr>
      <w:ind w:left="0" w:right="0" w:firstLine="0"/>
      <w:spacing w:after="57"/>
    </w:pPr>
  </w:style>
  <w:style w:type="paragraph" w:styleId="991">
    <w:name w:val="toc 2"/>
    <w:basedOn w:val="1001"/>
    <w:next w:val="1001"/>
    <w:uiPriority w:val="39"/>
    <w:unhideWhenUsed/>
    <w:pPr>
      <w:ind w:left="283" w:right="0" w:firstLine="0"/>
      <w:spacing w:after="57"/>
    </w:pPr>
  </w:style>
  <w:style w:type="paragraph" w:styleId="992">
    <w:name w:val="toc 3"/>
    <w:basedOn w:val="1001"/>
    <w:next w:val="1001"/>
    <w:uiPriority w:val="39"/>
    <w:unhideWhenUsed/>
    <w:pPr>
      <w:ind w:left="567" w:right="0" w:firstLine="0"/>
      <w:spacing w:after="57"/>
    </w:pPr>
  </w:style>
  <w:style w:type="paragraph" w:styleId="993">
    <w:name w:val="toc 4"/>
    <w:basedOn w:val="1001"/>
    <w:next w:val="1001"/>
    <w:uiPriority w:val="39"/>
    <w:unhideWhenUsed/>
    <w:pPr>
      <w:ind w:left="850" w:right="0" w:firstLine="0"/>
      <w:spacing w:after="57"/>
    </w:pPr>
  </w:style>
  <w:style w:type="paragraph" w:styleId="994">
    <w:name w:val="toc 5"/>
    <w:basedOn w:val="1001"/>
    <w:next w:val="1001"/>
    <w:uiPriority w:val="39"/>
    <w:unhideWhenUsed/>
    <w:pPr>
      <w:ind w:left="1134" w:right="0" w:firstLine="0"/>
      <w:spacing w:after="57"/>
    </w:pPr>
  </w:style>
  <w:style w:type="paragraph" w:styleId="995">
    <w:name w:val="toc 6"/>
    <w:basedOn w:val="1001"/>
    <w:next w:val="1001"/>
    <w:uiPriority w:val="39"/>
    <w:unhideWhenUsed/>
    <w:pPr>
      <w:ind w:left="1417" w:right="0" w:firstLine="0"/>
      <w:spacing w:after="57"/>
    </w:pPr>
  </w:style>
  <w:style w:type="paragraph" w:styleId="996">
    <w:name w:val="toc 7"/>
    <w:basedOn w:val="1001"/>
    <w:next w:val="1001"/>
    <w:uiPriority w:val="39"/>
    <w:unhideWhenUsed/>
    <w:pPr>
      <w:ind w:left="1701" w:right="0" w:firstLine="0"/>
      <w:spacing w:after="57"/>
    </w:pPr>
  </w:style>
  <w:style w:type="paragraph" w:styleId="997">
    <w:name w:val="toc 8"/>
    <w:basedOn w:val="1001"/>
    <w:next w:val="1001"/>
    <w:uiPriority w:val="39"/>
    <w:unhideWhenUsed/>
    <w:pPr>
      <w:ind w:left="1984" w:right="0" w:firstLine="0"/>
      <w:spacing w:after="57"/>
    </w:pPr>
  </w:style>
  <w:style w:type="paragraph" w:styleId="998">
    <w:name w:val="toc 9"/>
    <w:basedOn w:val="1001"/>
    <w:next w:val="1001"/>
    <w:uiPriority w:val="39"/>
    <w:unhideWhenUsed/>
    <w:pPr>
      <w:ind w:left="2268" w:right="0" w:firstLine="0"/>
      <w:spacing w:after="57"/>
    </w:pPr>
  </w:style>
  <w:style w:type="paragraph" w:styleId="999">
    <w:name w:val="TOC Heading"/>
    <w:uiPriority w:val="39"/>
    <w:unhideWhenUsed/>
  </w:style>
  <w:style w:type="paragraph" w:styleId="1000">
    <w:name w:val="table of figures"/>
    <w:basedOn w:val="1001"/>
    <w:next w:val="1001"/>
    <w:uiPriority w:val="99"/>
    <w:unhideWhenUsed/>
    <w:pPr>
      <w:spacing w:after="0" w:afterAutospacing="0"/>
    </w:pPr>
  </w:style>
  <w:style w:type="paragraph" w:styleId="1001" w:default="1">
    <w:name w:val="Normal"/>
    <w:next w:val="1001"/>
    <w:link w:val="1001"/>
    <w:qFormat/>
    <w:rPr>
      <w:rFonts w:ascii="Times New Roman" w:hAnsi="Times New Roman"/>
      <w:sz w:val="28"/>
      <w:szCs w:val="28"/>
      <w:lang w:val="ru-RU" w:eastAsia="en-US" w:bidi="ar-SA"/>
    </w:rPr>
  </w:style>
  <w:style w:type="paragraph" w:styleId="1002">
    <w:name w:val="Заголовок 1,Глава"/>
    <w:basedOn w:val="1022"/>
    <w:next w:val="1022"/>
    <w:link w:val="1015"/>
    <w:qFormat/>
    <w:pPr>
      <w:jc w:val="left"/>
      <w:keepNext/>
      <w:spacing w:before="480"/>
      <w:outlineLvl w:val="0"/>
    </w:pPr>
    <w:rPr>
      <w:rFonts w:cs="Arial"/>
      <w:color w:val="1f497d"/>
      <w:sz w:val="36"/>
      <w:szCs w:val="32"/>
    </w:rPr>
  </w:style>
  <w:style w:type="paragraph" w:styleId="1003">
    <w:name w:val="Заголовок 2,Раздел"/>
    <w:basedOn w:val="1022"/>
    <w:next w:val="1022"/>
    <w:link w:val="1016"/>
    <w:qFormat/>
    <w:pPr>
      <w:jc w:val="left"/>
      <w:keepNext/>
      <w:spacing w:before="400" w:after="120"/>
      <w:outlineLvl w:val="1"/>
    </w:pPr>
    <w:rPr>
      <w:color w:val="1f497d"/>
      <w:sz w:val="28"/>
    </w:rPr>
  </w:style>
  <w:style w:type="paragraph" w:styleId="1004">
    <w:name w:val="Заголовок 3,Подраздел"/>
    <w:basedOn w:val="1022"/>
    <w:next w:val="1022"/>
    <w:link w:val="1017"/>
    <w:qFormat/>
    <w:pPr>
      <w:jc w:val="left"/>
      <w:keepNext/>
      <w:spacing w:before="320" w:after="120"/>
      <w:outlineLvl w:val="2"/>
    </w:pPr>
    <w:rPr>
      <w:color w:val="1f497d"/>
      <w:sz w:val="24"/>
    </w:rPr>
  </w:style>
  <w:style w:type="paragraph" w:styleId="1005">
    <w:name w:val="Заголовок 4,Дополнительный"/>
    <w:basedOn w:val="1001"/>
    <w:next w:val="1001"/>
    <w:link w:val="1018"/>
    <w:qFormat/>
    <w:pPr>
      <w:keepLines/>
      <w:keepNext/>
      <w:spacing w:before="200" w:after="120"/>
      <w:outlineLvl w:val="3"/>
    </w:pPr>
    <w:rPr>
      <w:rFonts w:ascii="Arial" w:hAnsi="Arial" w:eastAsia="Times New Roman"/>
      <w:i/>
      <w:color w:val="1f497d"/>
      <w:sz w:val="22"/>
      <w:szCs w:val="20"/>
      <w:lang w:eastAsia="ru-RU"/>
    </w:rPr>
  </w:style>
  <w:style w:type="paragraph" w:styleId="1006">
    <w:name w:val="Заголовок 5,Номер главы"/>
    <w:basedOn w:val="1001"/>
    <w:next w:val="1001"/>
    <w:link w:val="1019"/>
    <w:qFormat/>
    <w:pPr>
      <w:keepNext/>
      <w:spacing w:before="160" w:after="120"/>
      <w:outlineLvl w:val="4"/>
    </w:pPr>
    <w:rPr>
      <w:rFonts w:ascii="Arial" w:hAnsi="Arial" w:eastAsia="Times New Roman"/>
      <w:b/>
      <w:color w:val="1f497d"/>
      <w:sz w:val="20"/>
      <w:szCs w:val="20"/>
      <w:lang w:eastAsia="ru-RU"/>
    </w:rPr>
  </w:style>
  <w:style w:type="paragraph" w:styleId="1007">
    <w:name w:val="Заголовок 6"/>
    <w:basedOn w:val="1001"/>
    <w:next w:val="1001"/>
    <w:link w:val="1020"/>
    <w:qFormat/>
    <w:pPr>
      <w:jc w:val="both"/>
      <w:spacing w:before="240" w:after="60"/>
      <w:outlineLvl w:val="5"/>
    </w:pPr>
    <w:rPr>
      <w:rFonts w:ascii="Arial" w:hAnsi="Arial" w:eastAsia="Times New Roman"/>
      <w:sz w:val="20"/>
      <w:szCs w:val="20"/>
      <w:lang w:eastAsia="ru-RU"/>
    </w:rPr>
  </w:style>
  <w:style w:type="paragraph" w:styleId="1008">
    <w:name w:val="Заголовок 7"/>
    <w:basedOn w:val="1001"/>
    <w:next w:val="1001"/>
    <w:link w:val="1029"/>
    <w:uiPriority w:val="9"/>
    <w:semiHidden/>
    <w:qFormat/>
    <w:pPr>
      <w:jc w:val="both"/>
      <w:keepLines/>
      <w:keepNext/>
      <w:spacing w:before="200"/>
      <w:outlineLvl w:val="6"/>
    </w:pPr>
    <w:rPr>
      <w:rFonts w:ascii="Cambria" w:hAnsi="Cambria" w:eastAsia="Times New Roman" w:cs="Times New Roman"/>
      <w:i/>
      <w:iCs/>
      <w:color w:val="404040"/>
      <w:sz w:val="20"/>
      <w:szCs w:val="20"/>
    </w:rPr>
  </w:style>
  <w:style w:type="paragraph" w:styleId="1009">
    <w:name w:val="Заголовок 8"/>
    <w:basedOn w:val="1001"/>
    <w:next w:val="1001"/>
    <w:link w:val="1030"/>
    <w:uiPriority w:val="9"/>
    <w:unhideWhenUsed/>
    <w:qFormat/>
    <w:pPr>
      <w:keepLines/>
      <w:keepNext/>
      <w:spacing w:before="200"/>
      <w:outlineLvl w:val="7"/>
    </w:pPr>
    <w:rPr>
      <w:rFonts w:ascii="Arial" w:hAnsi="Arial" w:eastAsia="Times New Roman" w:cs="Times New Roman"/>
      <w:color w:val="404040"/>
      <w:sz w:val="20"/>
      <w:szCs w:val="20"/>
    </w:rPr>
  </w:style>
  <w:style w:type="paragraph" w:styleId="1010">
    <w:name w:val="Заголовок 9"/>
    <w:basedOn w:val="1001"/>
    <w:next w:val="1001"/>
    <w:link w:val="1031"/>
    <w:uiPriority w:val="9"/>
    <w:unhideWhenUsed/>
    <w:qFormat/>
    <w:pPr>
      <w:keepLines/>
      <w:keepNext/>
      <w:spacing w:before="200"/>
      <w:outlineLvl w:val="8"/>
    </w:pPr>
    <w:rPr>
      <w:rFonts w:ascii="Arial" w:hAnsi="Arial" w:eastAsia="Times New Roman" w:cs="Times New Roman"/>
      <w:iCs/>
      <w:color w:val="404040"/>
      <w:sz w:val="20"/>
      <w:szCs w:val="20"/>
    </w:rPr>
  </w:style>
  <w:style w:type="character" w:styleId="1011">
    <w:name w:val="Основной шрифт абзаца"/>
    <w:next w:val="1011"/>
    <w:link w:val="1001"/>
    <w:uiPriority w:val="1"/>
    <w:semiHidden/>
    <w:unhideWhenUsed/>
  </w:style>
  <w:style w:type="table" w:styleId="1012">
    <w:name w:val="Обычная таблица"/>
    <w:next w:val="1012"/>
    <w:link w:val="1001"/>
    <w:uiPriority w:val="99"/>
    <w:semiHidden/>
    <w:unhideWhenUsed/>
    <w:tblPr/>
  </w:style>
  <w:style w:type="numbering" w:styleId="1013">
    <w:name w:val="Нет списка"/>
    <w:next w:val="1013"/>
    <w:link w:val="1001"/>
    <w:uiPriority w:val="99"/>
    <w:semiHidden/>
    <w:unhideWhenUsed/>
  </w:style>
  <w:style w:type="character" w:styleId="1014">
    <w:name w:val="Гиперссылка"/>
    <w:next w:val="1014"/>
    <w:link w:val="1001"/>
    <w:qFormat/>
    <w:rPr>
      <w:rFonts w:eastAsia="Times New Roman"/>
      <w:color w:val="4f81bd"/>
      <w:u w:val="single"/>
      <w:lang w:val="ru-RU" w:eastAsia="ru-RU"/>
    </w:rPr>
  </w:style>
  <w:style w:type="character" w:styleId="1015">
    <w:name w:val="Заголовок 1 Знак,Глава Знак"/>
    <w:next w:val="1015"/>
    <w:link w:val="1002"/>
    <w:rPr>
      <w:rFonts w:eastAsia="Times New Roman" w:cs="Arial"/>
      <w:color w:val="1f497d"/>
      <w:sz w:val="36"/>
      <w:szCs w:val="32"/>
      <w:lang w:eastAsia="ru-RU"/>
    </w:rPr>
  </w:style>
  <w:style w:type="character" w:styleId="1016">
    <w:name w:val="Заголовок 2 Знак,Раздел Знак"/>
    <w:next w:val="1016"/>
    <w:link w:val="1003"/>
    <w:rPr>
      <w:rFonts w:eastAsia="Times New Roman"/>
      <w:color w:val="1f497d"/>
      <w:sz w:val="28"/>
      <w:lang w:eastAsia="ru-RU"/>
    </w:rPr>
  </w:style>
  <w:style w:type="character" w:styleId="1017">
    <w:name w:val="Заголовок 3 Знак,Подраздел Знак"/>
    <w:next w:val="1017"/>
    <w:link w:val="1004"/>
    <w:rPr>
      <w:rFonts w:eastAsia="Times New Roman"/>
      <w:color w:val="1f497d"/>
      <w:sz w:val="24"/>
      <w:lang w:eastAsia="ru-RU"/>
    </w:rPr>
  </w:style>
  <w:style w:type="character" w:styleId="1018">
    <w:name w:val="Заголовок 4 Знак,Дополнительный Знак"/>
    <w:next w:val="1018"/>
    <w:link w:val="1005"/>
    <w:rPr>
      <w:rFonts w:eastAsia="Times New Roman"/>
      <w:i/>
      <w:color w:val="1f497d"/>
      <w:sz w:val="22"/>
      <w:lang w:eastAsia="ru-RU"/>
    </w:rPr>
  </w:style>
  <w:style w:type="character" w:styleId="1019">
    <w:name w:val="Заголовок 5 Знак,Номер главы Знак"/>
    <w:next w:val="1019"/>
    <w:link w:val="1006"/>
    <w:rPr>
      <w:rFonts w:eastAsia="Times New Roman"/>
      <w:b/>
      <w:color w:val="1f497d"/>
      <w:lang w:eastAsia="ru-RU"/>
    </w:rPr>
  </w:style>
  <w:style w:type="character" w:styleId="1020">
    <w:name w:val="Заголовок 6 Знак"/>
    <w:next w:val="1020"/>
    <w:link w:val="1007"/>
    <w:rPr>
      <w:rFonts w:eastAsia="Times New Roman"/>
      <w:lang w:eastAsia="ru-RU"/>
    </w:rPr>
  </w:style>
  <w:style w:type="paragraph" w:styleId="1021">
    <w:name w:val="Кнопка"/>
    <w:basedOn w:val="1022"/>
    <w:next w:val="1022"/>
    <w:link w:val="1028"/>
    <w:qFormat/>
    <w:pPr>
      <w:spacing w:before="0"/>
    </w:pPr>
    <w:rPr>
      <w:b/>
      <w:u w:val="single"/>
    </w:rPr>
  </w:style>
  <w:style w:type="paragraph" w:styleId="1022">
    <w:name w:val="Основной текст"/>
    <w:basedOn w:val="1001"/>
    <w:next w:val="1022"/>
    <w:link w:val="1023"/>
    <w:qFormat/>
    <w:pPr>
      <w:jc w:val="both"/>
      <w:spacing w:before="160"/>
    </w:pPr>
    <w:rPr>
      <w:rFonts w:ascii="Arial" w:hAnsi="Arial" w:eastAsia="Times New Roman"/>
      <w:sz w:val="20"/>
      <w:szCs w:val="20"/>
      <w:lang w:eastAsia="ru-RU"/>
    </w:rPr>
  </w:style>
  <w:style w:type="character" w:styleId="1023">
    <w:name w:val="Основной текст Знак"/>
    <w:next w:val="1023"/>
    <w:link w:val="1022"/>
    <w:rPr>
      <w:rFonts w:eastAsia="Times New Roman"/>
      <w:lang w:eastAsia="ru-RU"/>
    </w:rPr>
  </w:style>
  <w:style w:type="paragraph" w:styleId="1024">
    <w:name w:val="Название справочника"/>
    <w:basedOn w:val="1022"/>
    <w:next w:val="1022"/>
    <w:link w:val="1049"/>
    <w:qFormat/>
    <w:pPr>
      <w:spacing w:before="0"/>
    </w:pPr>
    <w:rPr>
      <w:b/>
    </w:rPr>
  </w:style>
  <w:style w:type="paragraph" w:styleId="1025">
    <w:name w:val="Название поля/пункт меню"/>
    <w:basedOn w:val="1022"/>
    <w:next w:val="1025"/>
    <w:link w:val="1051"/>
    <w:qFormat/>
    <w:pPr>
      <w:spacing w:before="0"/>
    </w:pPr>
    <w:rPr>
      <w:i/>
    </w:rPr>
  </w:style>
  <w:style w:type="character" w:styleId="1026">
    <w:name w:val="Определение"/>
    <w:next w:val="1026"/>
    <w:link w:val="1001"/>
    <w:qFormat/>
    <w:rPr>
      <w:rFonts w:eastAsia="Times New Roman"/>
      <w:i/>
      <w:color w:val="1f497d"/>
      <w:u w:val="none"/>
      <w:lang w:val="ru-RU" w:eastAsia="ru-RU"/>
    </w:rPr>
  </w:style>
  <w:style w:type="character" w:styleId="1027">
    <w:name w:val="Участник процесса"/>
    <w:next w:val="1027"/>
    <w:link w:val="1001"/>
    <w:qFormat/>
    <w:rPr>
      <w:rFonts w:ascii="Arial" w:hAnsi="Arial" w:eastAsia="Times New Roman"/>
      <w:b/>
      <w:i/>
      <w:sz w:val="20"/>
      <w:lang w:val="ru-RU" w:eastAsia="ru-RU"/>
    </w:rPr>
  </w:style>
  <w:style w:type="character" w:styleId="1028">
    <w:name w:val="Кнопка Знак"/>
    <w:next w:val="1028"/>
    <w:link w:val="1021"/>
    <w:rPr>
      <w:rFonts w:eastAsia="Times New Roman"/>
      <w:b/>
      <w:u w:val="single"/>
      <w:lang w:eastAsia="ru-RU"/>
    </w:rPr>
  </w:style>
  <w:style w:type="character" w:styleId="1029">
    <w:name w:val="Заголовок 7 Знак"/>
    <w:next w:val="1029"/>
    <w:link w:val="1008"/>
    <w:uiPriority w:val="9"/>
    <w:semiHidden/>
    <w:rPr>
      <w:rFonts w:ascii="Cambria" w:hAnsi="Cambria" w:eastAsia="Times New Roman" w:cs="Times New Roman"/>
      <w:i/>
      <w:iCs/>
      <w:color w:val="404040"/>
    </w:rPr>
  </w:style>
  <w:style w:type="character" w:styleId="1030">
    <w:name w:val="Заголовок 8 Знак"/>
    <w:next w:val="1030"/>
    <w:link w:val="1009"/>
    <w:uiPriority w:val="9"/>
    <w:rPr>
      <w:rFonts w:eastAsia="Times New Roman" w:cs="Times New Roman"/>
      <w:color w:val="404040"/>
    </w:rPr>
  </w:style>
  <w:style w:type="character" w:styleId="1031">
    <w:name w:val="Заголовок 9 Знак"/>
    <w:next w:val="1031"/>
    <w:link w:val="1010"/>
    <w:uiPriority w:val="9"/>
    <w:rPr>
      <w:rFonts w:eastAsia="Times New Roman" w:cs="Times New Roman"/>
      <w:iCs/>
      <w:color w:val="404040"/>
    </w:rPr>
  </w:style>
  <w:style w:type="paragraph" w:styleId="1032">
    <w:name w:val="Нумерованный список"/>
    <w:basedOn w:val="1040"/>
    <w:next w:val="1032"/>
    <w:link w:val="1001"/>
    <w:uiPriority w:val="99"/>
    <w:unhideWhenUsed/>
    <w:pPr>
      <w:numPr>
        <w:numId w:val="31"/>
      </w:numPr>
      <w:spacing w:before="160"/>
    </w:pPr>
  </w:style>
  <w:style w:type="paragraph" w:styleId="1033">
    <w:name w:val="Маркированный список"/>
    <w:basedOn w:val="1040"/>
    <w:next w:val="1033"/>
    <w:link w:val="1001"/>
    <w:qFormat/>
    <w:pPr>
      <w:numPr>
        <w:numId w:val="43"/>
      </w:numPr>
    </w:pPr>
  </w:style>
  <w:style w:type="paragraph" w:styleId="1034">
    <w:name w:val="Пример кода"/>
    <w:basedOn w:val="1022"/>
    <w:next w:val="1034"/>
    <w:link w:val="1001"/>
    <w:qFormat/>
    <w:pPr>
      <w:spacing w:before="0"/>
      <w:shd w:val="clear" w:color="auto" w:fill="f2f2f2"/>
    </w:pPr>
    <w:rPr>
      <w:rFonts w:ascii="Consolas" w:hAnsi="Consolas"/>
    </w:rPr>
  </w:style>
  <w:style w:type="paragraph" w:styleId="1035">
    <w:name w:val="Примечание"/>
    <w:basedOn w:val="1022"/>
    <w:next w:val="1035"/>
    <w:link w:val="1001"/>
    <w:qFormat/>
    <w:pPr>
      <w:keepLines/>
      <w:keepNext/>
      <w:pBdr>
        <w:top w:val="single" w:color="808080" w:sz="4" w:space="4"/>
        <w:left w:val="single" w:color="808080" w:sz="4" w:space="4"/>
        <w:bottom w:val="single" w:color="808080" w:sz="4" w:space="4"/>
        <w:right w:val="single" w:color="808080" w:sz="4" w:space="4"/>
      </w:pBdr>
    </w:pPr>
  </w:style>
  <w:style w:type="paragraph" w:styleId="1036">
    <w:name w:val="Название"/>
    <w:basedOn w:val="1022"/>
    <w:next w:val="1001"/>
    <w:link w:val="1037"/>
    <w:uiPriority w:val="10"/>
    <w:qFormat/>
    <w:pPr>
      <w:jc w:val="left"/>
      <w:spacing w:before="0" w:after="360"/>
      <w:pBdr>
        <w:bottom w:val="single" w:color="1F497D" w:sz="18" w:space="1"/>
      </w:pBdr>
    </w:pPr>
    <w:rPr>
      <w:color w:val="1f497d"/>
      <w:sz w:val="40"/>
    </w:rPr>
  </w:style>
  <w:style w:type="character" w:styleId="1037">
    <w:name w:val="Название Знак"/>
    <w:next w:val="1037"/>
    <w:link w:val="1036"/>
    <w:uiPriority w:val="10"/>
    <w:rPr>
      <w:rFonts w:eastAsia="Times New Roman"/>
      <w:color w:val="1f497d"/>
      <w:sz w:val="40"/>
      <w:lang w:eastAsia="ru-RU"/>
    </w:rPr>
  </w:style>
  <w:style w:type="table" w:styleId="1038">
    <w:name w:val="Сетка таблицы"/>
    <w:basedOn w:val="1012"/>
    <w:next w:val="1038"/>
    <w:link w:val="1001"/>
    <w:uiPriority w:val="59"/>
    <w:pPr>
      <w:spacing w:before="0"/>
    </w:pPr>
    <w:tblPr/>
  </w:style>
  <w:style w:type="table" w:styleId="1039">
    <w:name w:val="Таблица НПО"/>
    <w:basedOn w:val="1012"/>
    <w:next w:val="1039"/>
    <w:link w:val="1001"/>
    <w:uiPriority w:val="99"/>
    <w:qFormat/>
    <w:pPr>
      <w:jc w:val="left"/>
      <w:spacing w:before="0"/>
    </w:pPr>
    <w:rPr>
      <w:rFonts w:eastAsia="Calibri"/>
      <w:lang w:eastAsia="ru-RU"/>
    </w:rPr>
    <w:tblPr/>
  </w:style>
  <w:style w:type="paragraph" w:styleId="1040">
    <w:name w:val="Абзац списка"/>
    <w:basedOn w:val="1001"/>
    <w:next w:val="1040"/>
    <w:link w:val="1001"/>
    <w:uiPriority w:val="34"/>
    <w:qFormat/>
    <w:pPr>
      <w:ind w:left="709" w:hanging="284"/>
      <w:jc w:val="both"/>
      <w:spacing w:before="60"/>
    </w:pPr>
    <w:rPr>
      <w:rFonts w:ascii="Arial" w:hAnsi="Arial" w:eastAsia="Calibri"/>
      <w:sz w:val="20"/>
      <w:szCs w:val="20"/>
    </w:rPr>
  </w:style>
  <w:style w:type="paragraph" w:styleId="1041">
    <w:name w:val="Название объекта"/>
    <w:basedOn w:val="1001"/>
    <w:next w:val="1001"/>
    <w:link w:val="1001"/>
    <w:uiPriority w:val="35"/>
    <w:unhideWhenUsed/>
    <w:qFormat/>
    <w:pPr>
      <w:jc w:val="right"/>
      <w:spacing w:before="120" w:after="120"/>
    </w:pPr>
    <w:rPr>
      <w:rFonts w:ascii="Arial" w:hAnsi="Arial" w:eastAsia="Calibri"/>
      <w:bCs/>
      <w:sz w:val="20"/>
      <w:szCs w:val="18"/>
    </w:rPr>
  </w:style>
  <w:style w:type="numbering" w:styleId="1042">
    <w:name w:val="Список эталон"/>
    <w:next w:val="1042"/>
    <w:link w:val="1001"/>
    <w:uiPriority w:val="99"/>
    <w:pPr>
      <w:numPr>
        <w:numId w:val="41"/>
      </w:numPr>
    </w:pPr>
  </w:style>
  <w:style w:type="paragraph" w:styleId="1043">
    <w:name w:val="Верхний колонтитул"/>
    <w:basedOn w:val="1001"/>
    <w:next w:val="1043"/>
    <w:link w:val="1044"/>
    <w:uiPriority w:val="99"/>
    <w:unhideWhenUsed/>
    <w:pPr>
      <w:tabs>
        <w:tab w:val="center" w:pos="4677" w:leader="none"/>
        <w:tab w:val="right" w:pos="9355" w:leader="none"/>
      </w:tabs>
    </w:pPr>
    <w:rPr>
      <w:rFonts w:ascii="Arial" w:hAnsi="Arial"/>
      <w:color w:val="404040"/>
      <w:sz w:val="18"/>
      <w:szCs w:val="20"/>
    </w:rPr>
  </w:style>
  <w:style w:type="character" w:styleId="1044">
    <w:name w:val="Верхний колонтитул Знак"/>
    <w:next w:val="1044"/>
    <w:link w:val="1043"/>
    <w:uiPriority w:val="99"/>
    <w:rPr>
      <w:rFonts w:eastAsia="Calibri"/>
      <w:color w:val="404040"/>
      <w:sz w:val="18"/>
    </w:rPr>
  </w:style>
  <w:style w:type="paragraph" w:styleId="1045">
    <w:name w:val="Нижний колонтитул"/>
    <w:basedOn w:val="1001"/>
    <w:next w:val="1045"/>
    <w:link w:val="1046"/>
    <w:uiPriority w:val="99"/>
    <w:unhideWhenUsed/>
    <w:pPr>
      <w:tabs>
        <w:tab w:val="center" w:pos="4677" w:leader="none"/>
        <w:tab w:val="right" w:pos="9355" w:leader="none"/>
      </w:tabs>
    </w:pPr>
    <w:rPr>
      <w:rFonts w:ascii="Arial" w:hAnsi="Arial"/>
      <w:color w:val="404040"/>
      <w:sz w:val="18"/>
      <w:szCs w:val="20"/>
    </w:rPr>
  </w:style>
  <w:style w:type="character" w:styleId="1046">
    <w:name w:val="Нижний колонтитул Знак"/>
    <w:next w:val="1046"/>
    <w:link w:val="1045"/>
    <w:uiPriority w:val="99"/>
    <w:rPr>
      <w:rFonts w:eastAsia="Calibri"/>
      <w:color w:val="404040"/>
      <w:sz w:val="18"/>
    </w:rPr>
  </w:style>
  <w:style w:type="paragraph" w:styleId="1047">
    <w:name w:val="Текст выноски"/>
    <w:basedOn w:val="1001"/>
    <w:next w:val="1047"/>
    <w:link w:val="1048"/>
    <w:uiPriority w:val="99"/>
    <w:semiHidden/>
    <w:unhideWhenUsed/>
    <w:pPr>
      <w:jc w:val="both"/>
    </w:pPr>
    <w:rPr>
      <w:rFonts w:ascii="Tahoma" w:hAnsi="Tahoma" w:eastAsia="Calibri" w:cs="Tahoma"/>
      <w:sz w:val="16"/>
      <w:szCs w:val="16"/>
    </w:rPr>
  </w:style>
  <w:style w:type="character" w:styleId="1048">
    <w:name w:val="Текст выноски Знак"/>
    <w:next w:val="1048"/>
    <w:link w:val="1047"/>
    <w:uiPriority w:val="99"/>
    <w:semiHidden/>
    <w:rPr>
      <w:rFonts w:ascii="Tahoma" w:hAnsi="Tahoma" w:cs="Tahoma"/>
      <w:sz w:val="16"/>
      <w:szCs w:val="16"/>
    </w:rPr>
  </w:style>
  <w:style w:type="character" w:styleId="1049">
    <w:name w:val="Название справочника Знак"/>
    <w:next w:val="1049"/>
    <w:link w:val="1024"/>
    <w:rPr>
      <w:rFonts w:eastAsia="Times New Roman"/>
      <w:b/>
      <w:lang w:eastAsia="ru-RU"/>
    </w:rPr>
  </w:style>
  <w:style w:type="character" w:styleId="1050">
    <w:name w:val="Пояснение к заполнению"/>
    <w:next w:val="1050"/>
    <w:link w:val="1001"/>
    <w:uiPriority w:val="1"/>
    <w:qFormat/>
    <w:rPr>
      <w:rFonts w:ascii="Arial" w:hAnsi="Arial"/>
      <w:i/>
      <w:color w:val="c0504d"/>
      <w:sz w:val="20"/>
    </w:rPr>
  </w:style>
  <w:style w:type="character" w:styleId="1051">
    <w:name w:val="Название поля/пункт меню Знак"/>
    <w:next w:val="1051"/>
    <w:link w:val="1025"/>
    <w:rPr>
      <w:rFonts w:eastAsia="Times New Roman"/>
      <w:i/>
      <w:lang w:eastAsia="ru-RU"/>
    </w:rPr>
  </w:style>
  <w:style w:type="paragraph" w:styleId="1052">
    <w:name w:val="Текст примечания"/>
    <w:basedOn w:val="1001"/>
    <w:next w:val="1052"/>
    <w:link w:val="1053"/>
    <w:pPr>
      <w:jc w:val="both"/>
    </w:pPr>
    <w:rPr>
      <w:rFonts w:ascii="Arial" w:hAnsi="Arial" w:eastAsia="Times New Roman"/>
      <w:sz w:val="20"/>
      <w:szCs w:val="20"/>
      <w:lang w:eastAsia="ru-RU"/>
    </w:rPr>
  </w:style>
  <w:style w:type="character" w:styleId="1053">
    <w:name w:val="Текст примечания Знак"/>
    <w:next w:val="1053"/>
    <w:link w:val="1052"/>
    <w:rPr>
      <w:rFonts w:eastAsia="Times New Roman"/>
      <w:lang w:eastAsia="ru-RU"/>
    </w:rPr>
  </w:style>
  <w:style w:type="paragraph" w:styleId="1054">
    <w:name w:val="Текст таблицы"/>
    <w:basedOn w:val="1022"/>
    <w:next w:val="1054"/>
    <w:link w:val="1001"/>
    <w:qFormat/>
    <w:pPr>
      <w:jc w:val="left"/>
      <w:spacing w:before="0"/>
    </w:pPr>
  </w:style>
  <w:style w:type="character" w:styleId="1055">
    <w:name w:val="Знак примечания"/>
    <w:next w:val="1055"/>
    <w:link w:val="1001"/>
    <w:uiPriority w:val="99"/>
    <w:semiHidden/>
    <w:unhideWhenUsed/>
    <w:rPr>
      <w:sz w:val="16"/>
      <w:szCs w:val="16"/>
    </w:rPr>
  </w:style>
  <w:style w:type="paragraph" w:styleId="1056">
    <w:name w:val="Тема примечания"/>
    <w:basedOn w:val="1052"/>
    <w:next w:val="1052"/>
    <w:link w:val="1057"/>
    <w:uiPriority w:val="99"/>
    <w:semiHidden/>
    <w:unhideWhenUsed/>
    <w:pPr>
      <w:jc w:val="left"/>
    </w:pPr>
    <w:rPr>
      <w:rFonts w:ascii="Times New Roman" w:hAnsi="Times New Roman" w:eastAsia="Calibri"/>
      <w:b/>
      <w:bCs/>
      <w:lang w:eastAsia="en-US"/>
    </w:rPr>
  </w:style>
  <w:style w:type="character" w:styleId="1057">
    <w:name w:val="Тема примечания Знак"/>
    <w:next w:val="1057"/>
    <w:link w:val="1056"/>
    <w:uiPriority w:val="99"/>
    <w:semiHidden/>
    <w:rPr>
      <w:rFonts w:ascii="Times New Roman" w:hAnsi="Times New Roman" w:eastAsia="Calibri"/>
      <w:b/>
      <w:bCs/>
      <w:lang w:eastAsia="ru-RU"/>
    </w:rPr>
  </w:style>
  <w:style w:type="paragraph" w:styleId="1058">
    <w:name w:val="Рецензия"/>
    <w:next w:val="1058"/>
    <w:link w:val="1001"/>
    <w:hidden/>
    <w:uiPriority w:val="99"/>
    <w:semiHidden/>
    <w:rPr>
      <w:rFonts w:ascii="Times New Roman" w:hAnsi="Times New Roman"/>
      <w:sz w:val="28"/>
      <w:szCs w:val="28"/>
      <w:lang w:val="ru-RU" w:eastAsia="en-US" w:bidi="ar-SA"/>
    </w:rPr>
  </w:style>
  <w:style w:type="paragraph" w:styleId="1059">
    <w:name w:val="ConsPlusTitle"/>
    <w:next w:val="1059"/>
    <w:link w:val="1001"/>
    <w:uiPriority w:val="99"/>
    <w:pPr>
      <w:widowControl w:val="off"/>
    </w:pPr>
    <w:rPr>
      <w:rFonts w:eastAsia="Times New Roman" w:cs="Arial"/>
      <w:b/>
      <w:bCs/>
      <w:lang w:val="ru-RU" w:eastAsia="ru-RU" w:bidi="ar-SA"/>
    </w:rPr>
  </w:style>
  <w:style w:type="paragraph" w:styleId="1060">
    <w:name w:val="Тd2еe5кeaсf1тf2 тf2аe0бe1лebиe8цf6ыfb"/>
    <w:basedOn w:val="1001"/>
    <w:next w:val="1060"/>
    <w:link w:val="1001"/>
    <w:uiPriority w:val="99"/>
    <w:rPr>
      <w:rFonts w:eastAsia="Times New Roman"/>
      <w:sz w:val="22"/>
      <w:szCs w:val="20"/>
      <w:lang w:eastAsia="ru-RU"/>
    </w:rPr>
  </w:style>
  <w:style w:type="character" w:styleId="1061" w:default="1">
    <w:name w:val="Default Paragraph Font"/>
    <w:uiPriority w:val="1"/>
    <w:semiHidden/>
    <w:unhideWhenUsed/>
  </w:style>
  <w:style w:type="numbering" w:styleId="1062" w:default="1">
    <w:name w:val="No List"/>
    <w:uiPriority w:val="99"/>
    <w:semiHidden/>
    <w:unhideWhenUsed/>
  </w:style>
  <w:style w:type="table" w:styleId="106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Кассихин Станислав (Kassikhin_SS)</dc:creator>
  <cp:revision>18</cp:revision>
  <dcterms:created xsi:type="dcterms:W3CDTF">2019-10-18T11:56:00Z</dcterms:created>
  <dcterms:modified xsi:type="dcterms:W3CDTF">2023-09-27T05:20:15Z</dcterms:modified>
  <cp:version>983040</cp:version>
</cp:coreProperties>
</file>