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BF" w:rsidRDefault="00207C76">
      <w:pPr>
        <w:ind w:left="496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УТВЕРЖДЕНА</w:t>
      </w:r>
    </w:p>
    <w:p w:rsidR="00D25BBF" w:rsidRDefault="00207C76">
      <w:pPr>
        <w:ind w:left="496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 Правительства</w:t>
      </w:r>
    </w:p>
    <w:p w:rsidR="00D25BBF" w:rsidRDefault="00207C76">
      <w:pPr>
        <w:ind w:left="496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Удмуртской Республики</w:t>
      </w:r>
    </w:p>
    <w:p w:rsidR="00D25BBF" w:rsidRDefault="00207C76">
      <w:pPr>
        <w:ind w:left="496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«___»_______ 2024</w:t>
      </w:r>
      <w:r>
        <w:rPr>
          <w:rFonts w:eastAsia="Calibri"/>
          <w:sz w:val="28"/>
          <w:szCs w:val="28"/>
          <w:lang w:eastAsia="en-US"/>
        </w:rPr>
        <w:t xml:space="preserve"> года №___</w:t>
      </w:r>
    </w:p>
    <w:p w:rsidR="00D25BBF" w:rsidRDefault="00D25BB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D25BBF" w:rsidRDefault="00D25B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5BBF" w:rsidRDefault="00207C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</w:p>
    <w:p w:rsidR="00D25BBF" w:rsidRDefault="00207C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</w:r>
    </w:p>
    <w:p w:rsidR="00D25BBF" w:rsidRDefault="00207C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«Окружающая среда и природные ресурсы»</w:t>
      </w:r>
    </w:p>
    <w:p w:rsidR="00D25BBF" w:rsidRDefault="00D25B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5BBF" w:rsidRDefault="00207C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Стратегические приоритеты </w:t>
      </w:r>
    </w:p>
    <w:p w:rsidR="00D25BBF" w:rsidRDefault="00207C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Удмуртской Республики </w:t>
      </w:r>
    </w:p>
    <w:p w:rsidR="00D25BBF" w:rsidRDefault="00207C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«Окружающая среда и природные ресурсы «</w:t>
      </w:r>
    </w:p>
    <w:p w:rsidR="00D25BBF" w:rsidRDefault="00207C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Оценка текущего состояния в сфере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охраны окружающей среды и природных ресурсов </w:t>
      </w: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D25BBF" w:rsidRDefault="00D25BBF">
      <w:pPr>
        <w:pStyle w:val="ConsPlusNormal"/>
        <w:jc w:val="both"/>
        <w:rPr>
          <w:sz w:val="28"/>
          <w:szCs w:val="28"/>
        </w:rPr>
      </w:pPr>
    </w:p>
    <w:p w:rsidR="00D25BBF" w:rsidRDefault="00207C76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 территории Российской Федерации сохраняются угрозы экологич</w:t>
      </w:r>
      <w:r>
        <w:rPr>
          <w:rFonts w:eastAsia="Calibri"/>
          <w:bCs/>
          <w:sz w:val="28"/>
          <w:szCs w:val="28"/>
        </w:rPr>
        <w:t>еской безопасности, несмотря на принимаемые меры по снижению уровней воздействия на окружающую среду химических, физических, биологических и иных факторов, по предотвращению чрезвычайных ситуаций природного и техногенного характера.</w:t>
      </w:r>
    </w:p>
    <w:p w:rsidR="00D25BBF" w:rsidRDefault="00207C76">
      <w:pPr>
        <w:spacing w:before="28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Окружающая среда в горо</w:t>
      </w:r>
      <w:r>
        <w:rPr>
          <w:rFonts w:eastAsia="Calibri"/>
          <w:bCs/>
          <w:sz w:val="28"/>
          <w:szCs w:val="28"/>
        </w:rPr>
        <w:t>дах и на прилегающих к ним территориях, где проживает 74 процента населения страны, подвергается существенному негативному воздействию, источниками которого являются объекты промышленности, энергетики и транспорта, а также объекты капитального строительств</w:t>
      </w:r>
      <w:r>
        <w:rPr>
          <w:rFonts w:eastAsia="Calibri"/>
          <w:bCs/>
          <w:sz w:val="28"/>
          <w:szCs w:val="28"/>
        </w:rPr>
        <w:t xml:space="preserve">а. В городах с высоким и очень высоким уровнем загрязнения воздуха проживает 17,1 млн. человек, что составляет 17 процентов городского населения страны. </w:t>
      </w:r>
    </w:p>
    <w:p w:rsidR="00D25BBF" w:rsidRDefault="00207C76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207C7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Удмуртской Республике непрерывно ведется мониторинг и</w:t>
      </w:r>
      <w:r w:rsidRPr="00207C7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07C7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состоянием воздуха. Загрязняющие в</w:t>
      </w:r>
      <w:r>
        <w:rPr>
          <w:color w:val="000000"/>
          <w:sz w:val="28"/>
          <w:szCs w:val="28"/>
          <w:shd w:val="clear" w:color="auto" w:fill="FFFFFF"/>
        </w:rPr>
        <w:t>ещества определяются с</w:t>
      </w:r>
      <w:r w:rsidRPr="00207C7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использованием стационарных постов и</w:t>
      </w:r>
      <w:r w:rsidRPr="00207C7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передвижных лабораторий.</w:t>
      </w:r>
      <w:r>
        <w:rPr>
          <w:sz w:val="28"/>
          <w:szCs w:val="28"/>
        </w:rPr>
        <w:t xml:space="preserve"> Наблюдения за состоянием атмосферного воздуха осуществляются на 4 стационарных и 3 маршрутных постах наблюдения загрязнений (ПНЗ).  Состояние загрязнения атмосферного возд</w:t>
      </w:r>
      <w:r>
        <w:rPr>
          <w:sz w:val="28"/>
          <w:szCs w:val="28"/>
        </w:rPr>
        <w:t>уха в г. Ижевске за 2022 год оценивалось  за концентрациями вредных веществ.</w:t>
      </w:r>
    </w:p>
    <w:p w:rsidR="00D25BBF" w:rsidRDefault="00207C76">
      <w:pPr>
        <w:ind w:firstLine="540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Сложившийся уровень антропогенного загрязнения является одной из основных причин, вызывающих деградацию рек, водохранилищ, озерных систем, накопление в донных отложениях, водной р</w:t>
      </w:r>
      <w:r>
        <w:rPr>
          <w:rFonts w:eastAsia="Calibri"/>
          <w:bCs/>
          <w:sz w:val="28"/>
          <w:szCs w:val="28"/>
        </w:rPr>
        <w:t>астительности и водных организмах загрязняющих веществ, в том числе токсичных, и ухудшение качества вод поверхностных водных объектов, используемых в качестве источников питьевого и хозяйственно-бытового водоснабжения и являющихся средой обитания водных би</w:t>
      </w:r>
      <w:r>
        <w:rPr>
          <w:rFonts w:eastAsia="Calibri"/>
          <w:bCs/>
          <w:sz w:val="28"/>
          <w:szCs w:val="28"/>
        </w:rPr>
        <w:t>ологических ресурсов.</w:t>
      </w:r>
      <w:proofErr w:type="gramEnd"/>
      <w:r>
        <w:rPr>
          <w:rFonts w:eastAsia="Calibri"/>
          <w:bCs/>
          <w:sz w:val="28"/>
          <w:szCs w:val="28"/>
        </w:rPr>
        <w:t xml:space="preserve"> Одна из основных причин неудовлетворительного экологического состояния водных объектов - загрязнение их сточными водами. </w:t>
      </w:r>
      <w:proofErr w:type="gramStart"/>
      <w:r>
        <w:rPr>
          <w:rFonts w:eastAsia="Calibri"/>
          <w:bCs/>
          <w:sz w:val="28"/>
          <w:szCs w:val="28"/>
        </w:rPr>
        <w:t xml:space="preserve">В целом по стране более 70 процентов </w:t>
      </w:r>
      <w:r>
        <w:rPr>
          <w:rFonts w:eastAsia="Calibri"/>
          <w:bCs/>
          <w:sz w:val="28"/>
          <w:szCs w:val="28"/>
        </w:rPr>
        <w:lastRenderedPageBreak/>
        <w:t>действующих очистных сооружений построены 30 - 50 лет назад и 80 процентов и</w:t>
      </w:r>
      <w:r>
        <w:rPr>
          <w:rFonts w:eastAsia="Calibri"/>
          <w:bCs/>
          <w:sz w:val="28"/>
          <w:szCs w:val="28"/>
        </w:rPr>
        <w:t>з них требует полной модернизации.</w:t>
      </w:r>
      <w:proofErr w:type="gramEnd"/>
    </w:p>
    <w:p w:rsidR="00D25BBF" w:rsidRDefault="00207C76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Источниками водоснабжения в республике являются как поверхностные, так и подземные водные объекты. </w:t>
      </w:r>
    </w:p>
    <w:p w:rsidR="00D25BBF" w:rsidRPr="00207C76" w:rsidRDefault="00207C76">
      <w:pPr>
        <w:spacing w:before="280"/>
        <w:ind w:firstLine="540"/>
        <w:jc w:val="both"/>
        <w:rPr>
          <w:sz w:val="28"/>
          <w:szCs w:val="28"/>
        </w:rPr>
      </w:pPr>
      <w:r w:rsidRPr="00207C76">
        <w:rPr>
          <w:sz w:val="28"/>
          <w:szCs w:val="28"/>
        </w:rPr>
        <w:t>По своему целевому назначению пруды и водохранилища используются по следующим основным направлениям: хозяйственно-питьево</w:t>
      </w:r>
      <w:r w:rsidRPr="00207C76">
        <w:rPr>
          <w:sz w:val="28"/>
          <w:szCs w:val="28"/>
        </w:rPr>
        <w:t xml:space="preserve">е водоснабжение, </w:t>
      </w:r>
      <w:proofErr w:type="spellStart"/>
      <w:r w:rsidRPr="00207C76">
        <w:rPr>
          <w:sz w:val="28"/>
          <w:szCs w:val="28"/>
        </w:rPr>
        <w:t>рыбохозяйственное</w:t>
      </w:r>
      <w:proofErr w:type="spellEnd"/>
      <w:r w:rsidRPr="00207C76">
        <w:rPr>
          <w:sz w:val="28"/>
          <w:szCs w:val="28"/>
        </w:rPr>
        <w:t>, мелиоративное, противопожарное, противоэрозионное, и наиболее распространенное использование – рекреационное.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Водохранилища и пруды являются неотъемлемой частью ландшафта республики. </w:t>
      </w:r>
      <w:r>
        <w:rPr>
          <w:sz w:val="28"/>
          <w:szCs w:val="28"/>
        </w:rPr>
        <w:t>Водохранилища городов Ижевска, Воткинска и Камбарки используются в качестве источников водоснабжения. По состоянию на 31. декабря 2022 на территории Удмуртской Республики расположено более 1 700 гидротехнических сооружений (далее – ГТС).</w:t>
      </w:r>
      <w:r w:rsidRPr="00207C76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Планомерно проводя</w:t>
      </w:r>
      <w:r>
        <w:rPr>
          <w:sz w:val="28"/>
          <w:szCs w:val="28"/>
        </w:rPr>
        <w:t xml:space="preserve">тся работы по </w:t>
      </w:r>
      <w:proofErr w:type="gramStart"/>
      <w:r>
        <w:rPr>
          <w:sz w:val="28"/>
          <w:szCs w:val="28"/>
        </w:rPr>
        <w:t>капитальному</w:t>
      </w:r>
      <w:proofErr w:type="gramEnd"/>
      <w:r>
        <w:rPr>
          <w:sz w:val="28"/>
          <w:szCs w:val="28"/>
        </w:rPr>
        <w:t xml:space="preserve"> ГТС.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Максимальные притоки и расходы паводковых вод 2022 года, проходящие через створы гидроузлов, не достигли критических величин и были сработаны без подтопления в нижних бьефах и аварийных ситуаций. За период прохождения весенн</w:t>
      </w:r>
      <w:r>
        <w:rPr>
          <w:sz w:val="28"/>
          <w:szCs w:val="28"/>
        </w:rPr>
        <w:t>его половодья чрезвычайные ситуации, связанные с прохождением половодья через гидротехнические сооружения не зафиксированы.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природных ресурсов и охраны окружающей среды Удмуртской Республики на постоянной основе осуществляются переданные полн</w:t>
      </w:r>
      <w:r>
        <w:rPr>
          <w:sz w:val="28"/>
          <w:szCs w:val="28"/>
        </w:rPr>
        <w:t xml:space="preserve">омочия Российской Федерации в области водных отношений, которые включают в себя мероприятия по охране водных объектов, предотвращению негативного воздействия вод и предоставлению водных объектов в пользование. В рамках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мероприятий выполнены ра</w:t>
      </w:r>
      <w:r>
        <w:rPr>
          <w:sz w:val="28"/>
          <w:szCs w:val="28"/>
        </w:rPr>
        <w:t xml:space="preserve">боты по определению местоположения береговых линий, границ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и прибрежных защитных полос водных объектов в г. Ижевске и г. Воткинске общей протяженностью 140 км. Сведения об установленных границах внесены в Единый государственный реестр недв</w:t>
      </w:r>
      <w:r>
        <w:rPr>
          <w:sz w:val="28"/>
          <w:szCs w:val="28"/>
        </w:rPr>
        <w:t>ижимости. Выполнение данных работ в первую очередь позволит предотвратить нарушения, связанные с ограничением ведения хозяйственной и иной деятельности в охранных зонах водотоков. Также 2022 году продолжены в проектно-изыскательские работы по расчистке пру</w:t>
      </w:r>
      <w:r>
        <w:rPr>
          <w:sz w:val="28"/>
          <w:szCs w:val="28"/>
        </w:rPr>
        <w:t xml:space="preserve">да на р. </w:t>
      </w:r>
      <w:proofErr w:type="spellStart"/>
      <w:r>
        <w:rPr>
          <w:sz w:val="28"/>
          <w:szCs w:val="28"/>
        </w:rPr>
        <w:t>Шаркан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Шаркан</w:t>
      </w:r>
      <w:proofErr w:type="spellEnd"/>
      <w:r>
        <w:rPr>
          <w:sz w:val="28"/>
          <w:szCs w:val="28"/>
        </w:rPr>
        <w:t xml:space="preserve">. 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по состоянию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2022 года зарегистрировано 196 водопользователей, из них 95 осуществляют пользование водными ресурсами, предусматривающее плату за них. 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водного хозяйства Министерством природных ресурсов и охраны окружающей среды Удмуртской Республики с 2019 года реализуется </w:t>
      </w:r>
      <w:r>
        <w:rPr>
          <w:sz w:val="28"/>
          <w:szCs w:val="28"/>
        </w:rPr>
        <w:lastRenderedPageBreak/>
        <w:t>региональный проект «Сохранение уникальных водных объектов» в рамках федерального проекта «Сохранение уникальных водны</w:t>
      </w:r>
      <w:r>
        <w:rPr>
          <w:sz w:val="28"/>
          <w:szCs w:val="28"/>
        </w:rPr>
        <w:t xml:space="preserve">х объектов» национального проекта «Экология». В составе проекта в 2022 году завершены работы по расчистке русла р. </w:t>
      </w:r>
      <w:proofErr w:type="spellStart"/>
      <w:r>
        <w:rPr>
          <w:sz w:val="28"/>
          <w:szCs w:val="28"/>
        </w:rPr>
        <w:t>Ува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Вавожском</w:t>
      </w:r>
      <w:proofErr w:type="spellEnd"/>
      <w:r>
        <w:rPr>
          <w:sz w:val="28"/>
          <w:szCs w:val="28"/>
        </w:rPr>
        <w:t xml:space="preserve"> районе. Всего за период 2019-2022 годы русло реки расчищено от донных отложений и водной растительности на всем запроектирова</w:t>
      </w:r>
      <w:r>
        <w:rPr>
          <w:sz w:val="28"/>
          <w:szCs w:val="28"/>
        </w:rPr>
        <w:t>нном участке 4,4 км, в текущем году завершены заключительные работы по утилизации намытых донных отложений, произведены демонтажные работы.</w:t>
      </w:r>
    </w:p>
    <w:p w:rsidR="00D25BBF" w:rsidRDefault="00D25BBF">
      <w:pPr>
        <w:spacing w:before="280"/>
        <w:ind w:firstLine="540"/>
        <w:jc w:val="both"/>
        <w:rPr>
          <w:sz w:val="28"/>
          <w:szCs w:val="28"/>
        </w:rPr>
      </w:pPr>
    </w:p>
    <w:p w:rsidR="00D25BBF" w:rsidRDefault="00207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особом контроле Правительства Российской Федерации находится выполнение субъектами Российской Федерации работ по</w:t>
      </w:r>
      <w:r>
        <w:rPr>
          <w:sz w:val="28"/>
          <w:szCs w:val="28"/>
        </w:rPr>
        <w:t xml:space="preserve"> определению границ зон затопления, подтопления. Всего в республике зоны затопления, подтопления необходимо определить на 33 территориях – это зарегулированные и регулярно затапливаемые участки водных объектов. Работы по определению границ зон затопления, </w:t>
      </w:r>
      <w:r>
        <w:rPr>
          <w:sz w:val="28"/>
          <w:szCs w:val="28"/>
        </w:rPr>
        <w:t>подтопления начаты с 2017 года и к настоящему времени такие зоны разработаны для 19 территорий, полностью работы завершены (сведения об установленных границах внесены в Единый государственный реестр недвижимости).</w:t>
      </w:r>
    </w:p>
    <w:p w:rsidR="00D25BBF" w:rsidRDefault="00207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определения границ зон затопления, п</w:t>
      </w:r>
      <w:r>
        <w:rPr>
          <w:sz w:val="28"/>
          <w:szCs w:val="28"/>
        </w:rPr>
        <w:t>одтопления является предотвращение негативного воздействия вод путем ограничений использования попадающих в такие зоны территорий, а также строительства инженерных защитных сооружений.</w:t>
      </w:r>
    </w:p>
    <w:p w:rsidR="00D25BBF" w:rsidRDefault="00207C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Удмуртии насчитывается 281 месторождение подземных вод с </w:t>
      </w:r>
      <w:r>
        <w:rPr>
          <w:sz w:val="28"/>
          <w:szCs w:val="28"/>
        </w:rPr>
        <w:t>подсчитанными запасами, эксплуатационные запасы которых составляют 168,529 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3/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В 2022 году эксплуатировалось 259 месторождений подземных вод с подсчитанными запасами, отбор по которым составил 47,688 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3/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(или 28% от разведанных эксплуатацион</w:t>
      </w:r>
      <w:r>
        <w:rPr>
          <w:sz w:val="28"/>
          <w:szCs w:val="28"/>
        </w:rPr>
        <w:t xml:space="preserve">ных запасов). По участкам месторождений количество добытых подземных вод не превышает утвержденные запасы. 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Недра Удмуртской Республики содержат запасы полезных ископаемых: углеводородного сырья (нефть, свободный и растворенный горючие газы), формовочных п</w:t>
      </w:r>
      <w:r>
        <w:rPr>
          <w:sz w:val="28"/>
          <w:szCs w:val="28"/>
        </w:rPr>
        <w:t xml:space="preserve">есков, стекольного сырья, флюсовых известняков, строительных камней, минеральных вод, лечебных грязей, технических и питьевых подземных вод. </w:t>
      </w:r>
      <w:proofErr w:type="gramStart"/>
      <w:r>
        <w:rPr>
          <w:sz w:val="28"/>
          <w:szCs w:val="28"/>
        </w:rPr>
        <w:t>Ежегодно происходит изменение запасов полезных ископаемых в результате добычи полезных ископаемых, разведки (</w:t>
      </w:r>
      <w:proofErr w:type="spellStart"/>
      <w:r>
        <w:rPr>
          <w:sz w:val="28"/>
          <w:szCs w:val="28"/>
        </w:rPr>
        <w:t>доразв</w:t>
      </w:r>
      <w:r>
        <w:rPr>
          <w:sz w:val="28"/>
          <w:szCs w:val="28"/>
        </w:rPr>
        <w:t>едки</w:t>
      </w:r>
      <w:proofErr w:type="spellEnd"/>
      <w:r>
        <w:rPr>
          <w:sz w:val="28"/>
          <w:szCs w:val="28"/>
        </w:rPr>
        <w:t>) месторождений и переоценки параметров подсчета запасов залежей по результатам разработки и эксплуатации месторождений, движения запасов в результате изменения балансовой принадлежности в распределенном (в пределах границ действующих лицензий) и нерас</w:t>
      </w:r>
      <w:r>
        <w:rPr>
          <w:sz w:val="28"/>
          <w:szCs w:val="28"/>
        </w:rPr>
        <w:t xml:space="preserve">пределенном фонде недр (за пределами границ действующих лицензий) (далее, РФН и НФН, соответственно). </w:t>
      </w:r>
      <w:proofErr w:type="gramEnd"/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1 января 2022 на территории Удмуртской Республики учтены 139 месторождений (130 нефтяных и 9 газонефтяных) с разбуренными технологическими извлекаемым</w:t>
      </w:r>
      <w:r>
        <w:rPr>
          <w:sz w:val="28"/>
          <w:szCs w:val="28"/>
        </w:rPr>
        <w:t xml:space="preserve">и запасами нефти на разрабатываемых месторождениях категории А+В1– 302,997 </w:t>
      </w:r>
      <w:proofErr w:type="spellStart"/>
      <w:r>
        <w:rPr>
          <w:sz w:val="28"/>
          <w:szCs w:val="28"/>
        </w:rPr>
        <w:t>млн.т</w:t>
      </w:r>
      <w:proofErr w:type="spellEnd"/>
      <w:r>
        <w:rPr>
          <w:sz w:val="28"/>
          <w:szCs w:val="28"/>
        </w:rPr>
        <w:t xml:space="preserve">, на разведываемых категории С1 – 10,802 </w:t>
      </w:r>
      <w:proofErr w:type="spellStart"/>
      <w:r>
        <w:rPr>
          <w:sz w:val="28"/>
          <w:szCs w:val="28"/>
        </w:rPr>
        <w:t>млн.т</w:t>
      </w:r>
      <w:proofErr w:type="spellEnd"/>
      <w:r>
        <w:rPr>
          <w:sz w:val="28"/>
          <w:szCs w:val="28"/>
        </w:rPr>
        <w:t>., суммарно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+В1+С1 – 313,799 </w:t>
      </w:r>
      <w:proofErr w:type="spellStart"/>
      <w:r>
        <w:rPr>
          <w:sz w:val="28"/>
          <w:szCs w:val="28"/>
        </w:rPr>
        <w:t>млн.т</w:t>
      </w:r>
      <w:proofErr w:type="spellEnd"/>
      <w:r>
        <w:rPr>
          <w:sz w:val="28"/>
          <w:szCs w:val="28"/>
        </w:rPr>
        <w:t xml:space="preserve">. Степень </w:t>
      </w:r>
      <w:proofErr w:type="spellStart"/>
      <w:r>
        <w:rPr>
          <w:sz w:val="28"/>
          <w:szCs w:val="28"/>
        </w:rPr>
        <w:t>выработанности</w:t>
      </w:r>
      <w:proofErr w:type="spellEnd"/>
      <w:r>
        <w:rPr>
          <w:sz w:val="28"/>
          <w:szCs w:val="28"/>
        </w:rPr>
        <w:t xml:space="preserve"> разбуренных запасов составляет 59,66 %.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Ресурсная база твердых полезны</w:t>
      </w:r>
      <w:r>
        <w:rPr>
          <w:sz w:val="28"/>
          <w:szCs w:val="28"/>
        </w:rPr>
        <w:t>х ископаемых Удмуртской Республики представлена стекольным сырьем и строительными камнями.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Минерально-сырьевая база нерудных ископаемых Удмуртской Республики представлена глинистыми породами для производства керамзита, кирпича и керамических блоков; карбон</w:t>
      </w:r>
      <w:r>
        <w:rPr>
          <w:sz w:val="28"/>
          <w:szCs w:val="28"/>
        </w:rPr>
        <w:t xml:space="preserve">атными породами для производства известняковой муки, строительного щебня и бута; песками для производства строительных растворов, бетонов и силикатных изделий; песчано-гравийными материалами для всех видов строительных работ и бетонов; торфом и сапропелем </w:t>
      </w:r>
      <w:r>
        <w:rPr>
          <w:sz w:val="28"/>
          <w:szCs w:val="28"/>
        </w:rPr>
        <w:t xml:space="preserve">для удобрений. Данное сырье относится к группе общераспространенных полезных ископаемых (ОПИ). Большинство месторождений и проявлений ОПИ имеют местное, наиболее </w:t>
      </w:r>
      <w:proofErr w:type="gramStart"/>
      <w:r>
        <w:rPr>
          <w:sz w:val="28"/>
          <w:szCs w:val="28"/>
        </w:rPr>
        <w:t>крупные</w:t>
      </w:r>
      <w:proofErr w:type="gramEnd"/>
      <w:r>
        <w:rPr>
          <w:sz w:val="28"/>
          <w:szCs w:val="28"/>
        </w:rPr>
        <w:t xml:space="preserve"> – республиканское значение.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Территориальный баланс запасов общераспространенных полезн</w:t>
      </w:r>
      <w:r>
        <w:rPr>
          <w:sz w:val="28"/>
          <w:szCs w:val="28"/>
        </w:rPr>
        <w:t xml:space="preserve">ых ископаемых Удмуртской Республики на 01.01.2023 включает 596 участка недр: 516 месторождений и 80 проявлений. </w:t>
      </w:r>
    </w:p>
    <w:p w:rsidR="00D25BBF" w:rsidRDefault="00207C76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Ведущую роль в обеспечении устойчивости экологических систем и биосферы в целом играет биологическое разнообразие, которое также выполняет регу</w:t>
      </w:r>
      <w:r>
        <w:rPr>
          <w:rFonts w:eastAsia="Calibri"/>
          <w:sz w:val="28"/>
          <w:szCs w:val="28"/>
        </w:rPr>
        <w:t>лирующую функцию в осуществлении всех биогеохимических, климатических и других процессов на Земле. Надежно функционирующие экологические системы укрепляют устойчивость компонентов природной среды к негативным воздействиям и снижают ее уязвимость к природны</w:t>
      </w:r>
      <w:r>
        <w:rPr>
          <w:rFonts w:eastAsia="Calibri"/>
          <w:sz w:val="28"/>
          <w:szCs w:val="28"/>
        </w:rPr>
        <w:t>м и антропогенным катастрофам.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Качество и объем проводимых учетных работ в Удмуртской Республике позволяет определить распространение, численность и состояние популяций используемых видов охотничьих ресурсов. В 2022 году проведен зимний маршрутный учет охо</w:t>
      </w:r>
      <w:r>
        <w:rPr>
          <w:sz w:val="28"/>
          <w:szCs w:val="28"/>
        </w:rPr>
        <w:t xml:space="preserve">тничьих животных на территории Удмуртской Республики. Было сформировано 30 отдельных исследуемых территорий в 25 муниципальных районах. 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Удмуртской Республики к охотничьим ресурсам относится 71 вид, в том числе 28 видов млекопитающих и 43 вид</w:t>
      </w:r>
      <w:r>
        <w:rPr>
          <w:sz w:val="28"/>
          <w:szCs w:val="28"/>
        </w:rPr>
        <w:t>а птиц.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Рыбохозяйственный</w:t>
      </w:r>
      <w:proofErr w:type="spellEnd"/>
      <w:r>
        <w:rPr>
          <w:sz w:val="28"/>
          <w:szCs w:val="28"/>
        </w:rPr>
        <w:t xml:space="preserve"> фонд водоемов Удмуртии в 2022 году не претерпел изменений. Основными рыбопромысловыми водоемами являются </w:t>
      </w:r>
      <w:proofErr w:type="spellStart"/>
      <w:r>
        <w:rPr>
          <w:sz w:val="28"/>
          <w:szCs w:val="28"/>
        </w:rPr>
        <w:t>Воткинское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Нижнекамское</w:t>
      </w:r>
      <w:proofErr w:type="gramEnd"/>
      <w:r>
        <w:rPr>
          <w:sz w:val="28"/>
          <w:szCs w:val="28"/>
        </w:rPr>
        <w:t xml:space="preserve"> водохранилища. Процент освоения объема водных </w:t>
      </w:r>
      <w:r>
        <w:rPr>
          <w:sz w:val="28"/>
          <w:szCs w:val="28"/>
        </w:rPr>
        <w:lastRenderedPageBreak/>
        <w:t>биологических ресурсов (ВБР) различных видов для целе</w:t>
      </w:r>
      <w:r>
        <w:rPr>
          <w:sz w:val="28"/>
          <w:szCs w:val="28"/>
        </w:rPr>
        <w:t xml:space="preserve">й промыслового лова составил: - в акватории Нижнекамского водохранилища – 72,5 % т; - в акватории </w:t>
      </w:r>
      <w:proofErr w:type="spellStart"/>
      <w:r>
        <w:rPr>
          <w:sz w:val="28"/>
          <w:szCs w:val="28"/>
        </w:rPr>
        <w:t>Воткинского</w:t>
      </w:r>
      <w:proofErr w:type="spellEnd"/>
      <w:r>
        <w:rPr>
          <w:sz w:val="28"/>
          <w:szCs w:val="28"/>
        </w:rPr>
        <w:t xml:space="preserve"> водохранилища – 82,9 % т. На 31 декабря 2022 года промысловый вылов водных биологических ресурсов составил 286,502 т.</w:t>
      </w:r>
    </w:p>
    <w:p w:rsidR="00D25BBF" w:rsidRDefault="00207C76">
      <w:pPr>
        <w:pStyle w:val="Standard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Одним из ключевых инструмент</w:t>
      </w:r>
      <w:r>
        <w:rPr>
          <w:rFonts w:ascii="Times New Roman" w:hAnsi="Times New Roman" w:cs="Times New Roman"/>
          <w:sz w:val="28"/>
          <w:szCs w:val="28"/>
        </w:rPr>
        <w:t>ов реализации государственной политики Российской Федерации по сохранению биологического и ландшафтного разнообразия является развитие сети особо охраняемых природных территорий (далее – ООПТ).</w:t>
      </w:r>
    </w:p>
    <w:p w:rsidR="00D25BBF" w:rsidRDefault="00207C76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государственном кадастре особо охраняемых природных территор</w:t>
      </w:r>
      <w:r>
        <w:rPr>
          <w:rFonts w:ascii="Times New Roman" w:hAnsi="Times New Roman" w:cs="Times New Roman"/>
          <w:sz w:val="28"/>
          <w:szCs w:val="28"/>
        </w:rPr>
        <w:t>ий в Удмуртской Республике числится 136 ООПТ, общей площадью 396,5 тысяч га (9,4 % от общей площади республики), в том числе: 2 ООПТ федерального значения, 128 ООПТ регионального значения, 6 ООПТ местного значения.</w:t>
      </w:r>
    </w:p>
    <w:p w:rsidR="00D25BBF" w:rsidRDefault="00207C76">
      <w:pPr>
        <w:pStyle w:val="Standard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сохранения уникальных, реликтовых</w:t>
      </w:r>
      <w:r>
        <w:rPr>
          <w:rFonts w:ascii="Times New Roman" w:hAnsi="Times New Roman" w:cs="Times New Roman"/>
          <w:sz w:val="28"/>
          <w:szCs w:val="28"/>
        </w:rPr>
        <w:t xml:space="preserve"> природных комплексов и ландшафтов, мест произрастаний и обитаний редких и исчезающих видов растений и животных, занесённых в Красную книгу Удмуртской Республики, постановлением Правительства Удмуртской Республики от 15.09.2021г. № 487 утверждена Схема раз</w:t>
      </w:r>
      <w:r>
        <w:rPr>
          <w:rFonts w:ascii="Times New Roman" w:hAnsi="Times New Roman" w:cs="Times New Roman"/>
          <w:sz w:val="28"/>
          <w:szCs w:val="28"/>
        </w:rPr>
        <w:t>вития особо охраняемых природных территорий регионального значения (далее – Схема развития ООПТ) в составе Схемы территориального планирования Удмуртской Республики.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Указанным документом в перспективе планируется придание статуса ООПТ регионального значени</w:t>
      </w:r>
      <w:r>
        <w:rPr>
          <w:rFonts w:ascii="Times New Roman" w:hAnsi="Times New Roman" w:cs="Times New Roman"/>
          <w:sz w:val="28"/>
          <w:szCs w:val="28"/>
        </w:rPr>
        <w:t>я более 90 природным территориям и объектам.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национального проекта «Экология» с целью снижения негативного экологического эффекта от образующихся отходов продолжается реализация федерального проекта «Комплексная система обращения с отходами». Прое</w:t>
      </w:r>
      <w:r>
        <w:rPr>
          <w:sz w:val="28"/>
          <w:szCs w:val="28"/>
        </w:rPr>
        <w:t xml:space="preserve">кт направлен на сокращение захоронения твердых коммунальных отходов, за счет его сортировки и дальнейшего вовлечения во вторичный оборот. </w:t>
      </w:r>
    </w:p>
    <w:p w:rsidR="00D25BBF" w:rsidRDefault="00207C76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Новая система обращения с твердыми коммунальными отходами начала работу с 1 января 2019 года. На сегодняшний день в У</w:t>
      </w:r>
      <w:r>
        <w:rPr>
          <w:sz w:val="28"/>
          <w:szCs w:val="28"/>
        </w:rPr>
        <w:t xml:space="preserve">дмуртской Республике функционирует двухуровневая система сортировки ТКО. Первый уровень - в местах накопления ТКО установлены специальные контейнеры для раздельного сбора отходов, с помощью которых организовано накопление таких видов отходов, как </w:t>
      </w:r>
      <w:proofErr w:type="spellStart"/>
      <w:r>
        <w:rPr>
          <w:sz w:val="28"/>
          <w:szCs w:val="28"/>
        </w:rPr>
        <w:t>пэт</w:t>
      </w:r>
      <w:proofErr w:type="spellEnd"/>
      <w:r>
        <w:rPr>
          <w:sz w:val="28"/>
          <w:szCs w:val="28"/>
        </w:rPr>
        <w:t>-бутыл</w:t>
      </w:r>
      <w:r>
        <w:rPr>
          <w:sz w:val="28"/>
          <w:szCs w:val="28"/>
        </w:rPr>
        <w:t xml:space="preserve">ки, пластик, стекло, металл, </w:t>
      </w:r>
      <w:proofErr w:type="spellStart"/>
      <w:r>
        <w:rPr>
          <w:sz w:val="28"/>
          <w:szCs w:val="28"/>
        </w:rPr>
        <w:t>тетрапак</w:t>
      </w:r>
      <w:proofErr w:type="spellEnd"/>
      <w:r>
        <w:rPr>
          <w:sz w:val="28"/>
          <w:szCs w:val="28"/>
        </w:rPr>
        <w:t xml:space="preserve">, пакеты и пищевые пленки. </w:t>
      </w:r>
      <w:proofErr w:type="gramStart"/>
      <w:r>
        <w:rPr>
          <w:sz w:val="28"/>
          <w:szCs w:val="28"/>
        </w:rPr>
        <w:t>В настоящее время более 1,6 тысяч контейнерных площадок оборудованы контейнерами для раздельного накопления.</w:t>
      </w:r>
      <w:proofErr w:type="gramEnd"/>
      <w:r>
        <w:rPr>
          <w:sz w:val="28"/>
          <w:szCs w:val="28"/>
        </w:rPr>
        <w:t xml:space="preserve">  В 2022 году построено 192 контейнерных площадок в 4 муниципальных образованиях в У</w:t>
      </w:r>
      <w:r>
        <w:rPr>
          <w:sz w:val="28"/>
          <w:szCs w:val="28"/>
        </w:rPr>
        <w:t>дмуртской Республике (</w:t>
      </w:r>
      <w:proofErr w:type="spellStart"/>
      <w:r>
        <w:rPr>
          <w:sz w:val="28"/>
          <w:szCs w:val="28"/>
        </w:rPr>
        <w:t>Воткинский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Юкаменский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Малопургинский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Кизнерский</w:t>
      </w:r>
      <w:proofErr w:type="spellEnd"/>
      <w:r>
        <w:rPr>
          <w:sz w:val="28"/>
          <w:szCs w:val="28"/>
        </w:rPr>
        <w:t xml:space="preserve"> районы). В рамках федерального проекта «Комплексная система обращения с ТКО»  в 2022 году закуплен 351 контейнер для раздельного накопления отходов. Контейнеры установлены в 5 муници</w:t>
      </w:r>
      <w:r>
        <w:rPr>
          <w:sz w:val="28"/>
          <w:szCs w:val="28"/>
        </w:rPr>
        <w:t xml:space="preserve">пальных образованиях Удмуртской Республики (г. Сарапул, г. Воткинск, </w:t>
      </w:r>
      <w:proofErr w:type="spellStart"/>
      <w:r>
        <w:rPr>
          <w:sz w:val="28"/>
          <w:szCs w:val="28"/>
        </w:rPr>
        <w:t>Воткинский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Сарапульский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Завьяловский</w:t>
      </w:r>
      <w:proofErr w:type="spellEnd"/>
      <w:r>
        <w:rPr>
          <w:sz w:val="28"/>
          <w:szCs w:val="28"/>
        </w:rPr>
        <w:t xml:space="preserve"> район). Второй уровень – отходы, собранные в местах накопления, перед размещением на полигонах </w:t>
      </w:r>
      <w:r>
        <w:rPr>
          <w:sz w:val="28"/>
          <w:szCs w:val="28"/>
        </w:rPr>
        <w:lastRenderedPageBreak/>
        <w:t xml:space="preserve">направляются на обработку с целью отбора </w:t>
      </w:r>
      <w:r>
        <w:rPr>
          <w:sz w:val="28"/>
          <w:szCs w:val="28"/>
        </w:rPr>
        <w:t xml:space="preserve">полезных фракций. В Удмуртской Республике функционируют четыре мусоросортировочные станции: на полигоне в </w:t>
      </w:r>
      <w:proofErr w:type="spellStart"/>
      <w:r>
        <w:rPr>
          <w:sz w:val="28"/>
          <w:szCs w:val="28"/>
        </w:rPr>
        <w:t>Якшур-Бодьинском</w:t>
      </w:r>
      <w:proofErr w:type="spellEnd"/>
      <w:r>
        <w:rPr>
          <w:sz w:val="28"/>
          <w:szCs w:val="28"/>
        </w:rPr>
        <w:t xml:space="preserve"> районе мощностью 50 тыс. тонн, на полигоне в </w:t>
      </w:r>
      <w:proofErr w:type="spellStart"/>
      <w:r>
        <w:rPr>
          <w:sz w:val="28"/>
          <w:szCs w:val="28"/>
        </w:rPr>
        <w:t>Увинском</w:t>
      </w:r>
      <w:proofErr w:type="spellEnd"/>
      <w:r>
        <w:rPr>
          <w:sz w:val="28"/>
          <w:szCs w:val="28"/>
        </w:rPr>
        <w:t xml:space="preserve"> районе мощностью 40 тыс. тонн, в г. Глазове мощностью 40 тыс. тонн, в </w:t>
      </w:r>
      <w:proofErr w:type="spellStart"/>
      <w:r>
        <w:rPr>
          <w:sz w:val="28"/>
          <w:szCs w:val="28"/>
        </w:rPr>
        <w:t>Завьяловс</w:t>
      </w:r>
      <w:r>
        <w:rPr>
          <w:sz w:val="28"/>
          <w:szCs w:val="28"/>
        </w:rPr>
        <w:t>ком</w:t>
      </w:r>
      <w:proofErr w:type="spellEnd"/>
      <w:r>
        <w:rPr>
          <w:sz w:val="28"/>
          <w:szCs w:val="28"/>
        </w:rPr>
        <w:t xml:space="preserve"> мощностью 250 тыс. тонн/год. В настоящее время обработку отходов проходят более 60 % ТКО, все отобранные полезные фракции направляются на утилизацию (вторичную переработку)</w:t>
      </w:r>
    </w:p>
    <w:p w:rsidR="00D25BBF" w:rsidRDefault="00207C76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По итогам 2022 года было направлено на утилизацию 20 тыс. тонн отходов.</w:t>
      </w:r>
      <w:r>
        <w:rPr>
          <w:rFonts w:eastAsia="Calibri"/>
          <w:bCs/>
          <w:sz w:val="28"/>
          <w:szCs w:val="28"/>
        </w:rPr>
        <w:t xml:space="preserve"> </w:t>
      </w:r>
    </w:p>
    <w:p w:rsidR="00D25BBF" w:rsidRDefault="00207C76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нач</w:t>
      </w:r>
      <w:r>
        <w:rPr>
          <w:sz w:val="28"/>
          <w:szCs w:val="28"/>
        </w:rPr>
        <w:t>ало реализации федерального проекта «Чистая страна» в 2019 году на территории Удмуртской Республики насчитывалось порядка 500 несанкционированных свалок общей площадью 400 гектар, с ориентировочной массой накопленных отходов около полутора миллионов тонн.</w:t>
      </w:r>
    </w:p>
    <w:p w:rsidR="00D25BBF" w:rsidRDefault="00207C76">
      <w:pPr>
        <w:spacing w:before="280"/>
        <w:ind w:firstLine="540"/>
        <w:jc w:val="both"/>
        <w:rPr>
          <w:rFonts w:eastAsia="Calibri"/>
          <w:bCs/>
          <w:color w:val="000000" w:themeColor="text1"/>
          <w:sz w:val="28"/>
          <w:szCs w:val="28"/>
          <w:highlight w:val="white"/>
        </w:rPr>
      </w:pPr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В рамках реализации федерального </w:t>
      </w:r>
      <w:hyperlink r:id="rId9" w:tooltip="consultantplus://offline/ref=AF3D3A5D5ADDFE531DB2CCEAABB6D41866688FFB9882771663878091B7CFF8B56676BC0AD0577DA77E38378400BF219BD509F1072213B891WD00J" w:history="1">
        <w:r>
          <w:rPr>
            <w:rFonts w:eastAsia="Calibri"/>
            <w:bCs/>
            <w:color w:val="000000" w:themeColor="text1"/>
            <w:sz w:val="28"/>
            <w:szCs w:val="28"/>
            <w:highlight w:val="white"/>
          </w:rPr>
          <w:t>проекта</w:t>
        </w:r>
      </w:hyperlink>
      <w:r>
        <w:rPr>
          <w:rFonts w:eastAsia="Calibri"/>
          <w:bCs/>
          <w:color w:val="000000" w:themeColor="text1"/>
          <w:sz w:val="28"/>
          <w:szCs w:val="28"/>
          <w:highlight w:val="white"/>
        </w:rPr>
        <w:t xml:space="preserve"> "Чистая страна" с 2019 по 2022 год проведены работы по ликвидации 58 наиболее опасных объектов накопленного вреда окружающей среде и 28 несанкционированных </w:t>
      </w:r>
      <w:r>
        <w:rPr>
          <w:rFonts w:eastAsia="Calibri"/>
          <w:bCs/>
          <w:color w:val="000000" w:themeColor="text1"/>
          <w:sz w:val="28"/>
          <w:szCs w:val="28"/>
          <w:highlight w:val="white"/>
        </w:rPr>
        <w:t>свалок в границах городов.</w:t>
      </w:r>
    </w:p>
    <w:p w:rsidR="00D25BBF" w:rsidRDefault="00D25BBF">
      <w:pPr>
        <w:pStyle w:val="ConsPlusTitle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D25BBF" w:rsidRDefault="00207C7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Приоритеты и цели государственной политики в сфере реализации государственной программы «Окружающая среда и природные ресурсы»</w:t>
      </w:r>
    </w:p>
    <w:p w:rsidR="00D25BBF" w:rsidRDefault="00D25BB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25BBF" w:rsidRDefault="00D25BBF">
      <w:pPr>
        <w:jc w:val="both"/>
        <w:outlineLvl w:val="0"/>
        <w:rPr>
          <w:rFonts w:eastAsia="Calibri"/>
          <w:sz w:val="28"/>
          <w:szCs w:val="28"/>
        </w:rPr>
      </w:pP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Приоритеты и цели государственной политики в сфере охраны окружающей среды и природных ресурсов отражены в следующих стратегических документах: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Стратегия экологической безопасности Российской Федерации на период до 2025 года, утвержденная </w:t>
      </w:r>
      <w:hyperlink r:id="rId10" w:tooltip="consultantplus://offline/ref=B6F4A11AE8EC2DDC1341537658096C04570A62451D0B7B020E21BDF02753E5FFA38EC6E80D636B271D23964B02393DB0B6EA0D176C547205s53FG" w:history="1">
        <w:r>
          <w:rPr>
            <w:rFonts w:eastAsia="Calibri"/>
            <w:sz w:val="28"/>
            <w:szCs w:val="28"/>
          </w:rPr>
          <w:t>Указом</w:t>
        </w:r>
      </w:hyperlink>
      <w:r>
        <w:rPr>
          <w:rFonts w:eastAsia="Calibri"/>
          <w:sz w:val="28"/>
          <w:szCs w:val="28"/>
        </w:rPr>
        <w:t xml:space="preserve"> Президента Российской Федерации от 19 апреля 2017 г. № 176 «О Стратегии экологической безопасности Российской Федерации на период до 2025 года»;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hyperlink r:id="rId11" w:tooltip="consultantplus://offline/ref=B6F4A11AE8EC2DDC1341537658096C04560E604A19047B020E21BDF02753E5FFA38EC6E80D636B231A23964B02393DB0B6EA0D176C547205s53FG" w:history="1">
        <w:r>
          <w:rPr>
            <w:rFonts w:eastAsia="Calibri"/>
            <w:sz w:val="28"/>
            <w:szCs w:val="28"/>
          </w:rPr>
          <w:t>Ука</w:t>
        </w:r>
        <w:r>
          <w:rPr>
            <w:rFonts w:eastAsia="Calibri"/>
            <w:sz w:val="28"/>
            <w:szCs w:val="28"/>
          </w:rPr>
          <w:t>з</w:t>
        </w:r>
      </w:hyperlink>
      <w:r>
        <w:rPr>
          <w:rFonts w:eastAsia="Calibri"/>
          <w:sz w:val="28"/>
          <w:szCs w:val="28"/>
        </w:rPr>
        <w:t xml:space="preserve">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hyperlink r:id="rId12" w:tooltip="consultantplus://offline/ref=B6F4A11AE8EC2DDC1341537658096C0456036E411C027B020E21BDF02753E5FFA38EC6E80D636B231923964B02393DB0B6EA0D176C547205s53FG" w:history="1">
        <w:r>
          <w:rPr>
            <w:rFonts w:eastAsia="Calibri"/>
            <w:sz w:val="28"/>
            <w:szCs w:val="28"/>
          </w:rPr>
          <w:t>Стратегия</w:t>
        </w:r>
      </w:hyperlink>
      <w:r>
        <w:rPr>
          <w:rFonts w:eastAsia="Calibri"/>
          <w:sz w:val="28"/>
          <w:szCs w:val="28"/>
        </w:rPr>
        <w:t xml:space="preserve"> национальной безопасности Российской Федерации, утв</w:t>
      </w:r>
      <w:r>
        <w:rPr>
          <w:rFonts w:eastAsia="Calibri"/>
          <w:sz w:val="28"/>
          <w:szCs w:val="28"/>
        </w:rPr>
        <w:t xml:space="preserve">ержденная Указом Президента Российской Федерации от 2 июля 2021 г. </w:t>
      </w:r>
      <w:r>
        <w:rPr>
          <w:rFonts w:eastAsia="Calibri"/>
          <w:sz w:val="28"/>
          <w:szCs w:val="28"/>
        </w:rPr>
        <w:br/>
        <w:t>№ 400 «О Стратегии национальной безопасности Российской Федерации»;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hyperlink r:id="rId13" w:tooltip="consultantplus://offline/ref=B6F4A11AE8EC2DDC1341537658096C0454096E421A047B020E21BDF02753E5FFA38EC6E80D636B231A23964B02393DB0B6EA0D176C547205s53FG" w:history="1">
        <w:r>
          <w:rPr>
            <w:rFonts w:eastAsia="Calibri"/>
            <w:sz w:val="28"/>
            <w:szCs w:val="28"/>
          </w:rPr>
          <w:t>Основы</w:t>
        </w:r>
      </w:hyperlink>
      <w:r>
        <w:rPr>
          <w:rFonts w:eastAsia="Calibri"/>
          <w:sz w:val="28"/>
          <w:szCs w:val="28"/>
        </w:rPr>
        <w:t xml:space="preserve"> государственной политики в области экологического разв</w:t>
      </w:r>
      <w:r>
        <w:rPr>
          <w:rFonts w:eastAsia="Calibri"/>
          <w:sz w:val="28"/>
          <w:szCs w:val="28"/>
        </w:rPr>
        <w:t>ития Российской Федерации на период до 2030 года, утвержденные Президентом Российской Федерации 30 апреля 2021 г.;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hyperlink r:id="rId14" w:tooltip="consultantplus://offline/ref=B6F4A11AE8EC2DDC1341537658096C0451096E411E0A7B020E21BDF02753E5FFA38EC6E80D636B221323964B02393DB0B6EA0D176C547205s53FG" w:history="1">
        <w:r>
          <w:rPr>
            <w:rFonts w:eastAsia="Calibri"/>
            <w:sz w:val="28"/>
            <w:szCs w:val="28"/>
          </w:rPr>
          <w:t>Стратегия</w:t>
        </w:r>
      </w:hyperlink>
      <w:r>
        <w:rPr>
          <w:rFonts w:eastAsia="Calibri"/>
          <w:sz w:val="28"/>
          <w:szCs w:val="28"/>
        </w:rPr>
        <w:t xml:space="preserve"> деятельности в области гидрометеорологии и смежных с ней областях на пер</w:t>
      </w:r>
      <w:r>
        <w:rPr>
          <w:rFonts w:eastAsia="Calibri"/>
          <w:sz w:val="28"/>
          <w:szCs w:val="28"/>
        </w:rPr>
        <w:t>иод до 2030 года (с учетом аспектов изменения климата), утвержденная распоряжением Правительства Российской Федерации от 3 сентября 2010 г. № 1458-р;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hyperlink r:id="rId15" w:tooltip="consultantplus://offline/ref=B6F4A11AE8EC2DDC1341537658096C0451096E411D067B020E21BDF02753E5FFA38EC6E80D636B231823964B02393DB0B6EA0D176C547205s53FG" w:history="1">
        <w:r>
          <w:rPr>
            <w:rFonts w:eastAsia="Calibri"/>
            <w:sz w:val="28"/>
            <w:szCs w:val="28"/>
          </w:rPr>
          <w:t>Стратегия</w:t>
        </w:r>
      </w:hyperlink>
      <w:r>
        <w:rPr>
          <w:rFonts w:eastAsia="Calibri"/>
          <w:sz w:val="28"/>
          <w:szCs w:val="28"/>
        </w:rPr>
        <w:t xml:space="preserve"> развития промышленности по обработке,</w:t>
      </w:r>
      <w:r>
        <w:rPr>
          <w:rFonts w:eastAsia="Calibri"/>
          <w:sz w:val="28"/>
          <w:szCs w:val="28"/>
        </w:rPr>
        <w:t xml:space="preserve"> утилизации и обезвреживанию отходов производства и потребления на период до 2030 года, утвержденная распоряжением Правительства Российской Федерации от 25 января 2018 г. № 84-р;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Основными приоритетами и целями государственной политики в сфере охраны окруж</w:t>
      </w:r>
      <w:r>
        <w:rPr>
          <w:rFonts w:eastAsia="Calibri"/>
          <w:sz w:val="28"/>
          <w:szCs w:val="28"/>
        </w:rPr>
        <w:t>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</w:t>
      </w:r>
      <w:r>
        <w:rPr>
          <w:rFonts w:eastAsia="Calibri"/>
          <w:sz w:val="28"/>
          <w:szCs w:val="28"/>
        </w:rPr>
        <w:t>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Основным приоритетом государственной по</w:t>
      </w:r>
      <w:r>
        <w:rPr>
          <w:rFonts w:eastAsia="Calibri"/>
          <w:sz w:val="28"/>
          <w:szCs w:val="28"/>
        </w:rPr>
        <w:t>литики в сфере регулирования качества окружающей среды является внедрение экономики замкнутого цикла путем реализации следующих мероприятий: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снижение антропогенного воздействия на окружающую среду за счет рационального использования вторичных ресурсов и сы</w:t>
      </w:r>
      <w:r>
        <w:rPr>
          <w:rFonts w:eastAsia="Calibri"/>
          <w:sz w:val="28"/>
          <w:szCs w:val="28"/>
        </w:rPr>
        <w:t>рья из отходов;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условий для минимизации образования отходов потребления и продления жизненного цикла продукции, популяризации в обществе «</w:t>
      </w:r>
      <w:proofErr w:type="spellStart"/>
      <w:r>
        <w:rPr>
          <w:rFonts w:eastAsia="Calibri"/>
          <w:sz w:val="28"/>
          <w:szCs w:val="28"/>
        </w:rPr>
        <w:t>экологичного</w:t>
      </w:r>
      <w:proofErr w:type="spellEnd"/>
      <w:r>
        <w:rPr>
          <w:rFonts w:eastAsia="Calibri"/>
          <w:sz w:val="28"/>
          <w:szCs w:val="28"/>
        </w:rPr>
        <w:t xml:space="preserve"> поведения» и «бережного потребления»;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сокращение обращения </w:t>
      </w:r>
      <w:proofErr w:type="spellStart"/>
      <w:r>
        <w:rPr>
          <w:rFonts w:eastAsia="Calibri"/>
          <w:sz w:val="28"/>
          <w:szCs w:val="28"/>
        </w:rPr>
        <w:t>неэкологичной</w:t>
      </w:r>
      <w:proofErr w:type="spellEnd"/>
      <w:r>
        <w:rPr>
          <w:rFonts w:eastAsia="Calibri"/>
          <w:sz w:val="28"/>
          <w:szCs w:val="28"/>
        </w:rPr>
        <w:t xml:space="preserve"> продукции, стимулирован</w:t>
      </w:r>
      <w:r>
        <w:rPr>
          <w:rFonts w:eastAsia="Calibri"/>
          <w:sz w:val="28"/>
          <w:szCs w:val="28"/>
        </w:rPr>
        <w:t>ие «зеленых» технологий в производстве и внедрение принципа «Загрязнитель платит».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Основными приоритетами и целями в сфере сохранения биологического разнообразия являются: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современной эффективной системы государственного управления в природоох</w:t>
      </w:r>
      <w:r>
        <w:rPr>
          <w:rFonts w:eastAsia="Calibri"/>
          <w:sz w:val="28"/>
          <w:szCs w:val="28"/>
        </w:rPr>
        <w:t>ранной сфере;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обеспечение долговременного сохранения природных экологических систем,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и местам их </w:t>
      </w:r>
      <w:r>
        <w:rPr>
          <w:rFonts w:eastAsia="Calibri"/>
          <w:sz w:val="28"/>
          <w:szCs w:val="28"/>
        </w:rPr>
        <w:t>обитания;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роли гражданского общества в охране окружающей среды и сохранении биологического разнообразия, формирование экологического мышления, экологической культуры граждан, а также создание эффективной системы экологического воспитания и образо</w:t>
      </w:r>
      <w:r>
        <w:rPr>
          <w:rFonts w:eastAsia="Calibri"/>
          <w:sz w:val="28"/>
          <w:szCs w:val="28"/>
        </w:rPr>
        <w:t>вания на базе особо охраняемых природных территорий.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Приоритетами государственной политики в сфере развития минерально-сырьевой базы в соответствии с задачами Стратегии развития минерально-сырьевой базы Российской Федерации до 2035 года, утвержденной распо</w:t>
      </w:r>
      <w:r>
        <w:rPr>
          <w:rFonts w:eastAsia="Calibri"/>
          <w:sz w:val="28"/>
          <w:szCs w:val="28"/>
        </w:rPr>
        <w:t>ряжением Правительства Российской Федерации от 22 декабря 2018 г. № 2914-р (далее - Стратегия развития минерально-сырьевой базы), являются: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повышение геологической изученности территории Российской Федерации и ее континентального шельфа на основе проведени</w:t>
      </w:r>
      <w:r>
        <w:rPr>
          <w:rFonts w:eastAsia="Calibri"/>
          <w:sz w:val="28"/>
          <w:szCs w:val="28"/>
        </w:rPr>
        <w:t xml:space="preserve">я региональных </w:t>
      </w:r>
      <w:proofErr w:type="gramStart"/>
      <w:r>
        <w:rPr>
          <w:rFonts w:eastAsia="Calibri"/>
          <w:sz w:val="28"/>
          <w:szCs w:val="28"/>
        </w:rPr>
        <w:t>геолого-</w:t>
      </w:r>
      <w:r>
        <w:rPr>
          <w:rFonts w:eastAsia="Calibri"/>
          <w:sz w:val="28"/>
          <w:szCs w:val="28"/>
        </w:rPr>
        <w:lastRenderedPageBreak/>
        <w:t>разведочных</w:t>
      </w:r>
      <w:proofErr w:type="gramEnd"/>
      <w:r>
        <w:rPr>
          <w:rFonts w:eastAsia="Calibri"/>
          <w:sz w:val="28"/>
          <w:szCs w:val="28"/>
        </w:rPr>
        <w:t xml:space="preserve"> работ, изучение геологического строения Арктики, Антарктики и дна Мирового океана;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развитие высоколиквидной минерально-сырьевой базы для действующих и формируемых минерально-сырьевых центров, в том числе в пределах террит</w:t>
      </w:r>
      <w:r>
        <w:rPr>
          <w:rFonts w:eastAsia="Calibri"/>
          <w:sz w:val="28"/>
          <w:szCs w:val="28"/>
        </w:rPr>
        <w:t>орий опережающего развития и приоритетных территорий Российской Федерации;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 xml:space="preserve">выявление месторождений углеводородного сырья и твердых полезных </w:t>
      </w:r>
      <w:proofErr w:type="gramStart"/>
      <w:r>
        <w:rPr>
          <w:rFonts w:eastAsia="Calibri"/>
          <w:sz w:val="28"/>
          <w:szCs w:val="28"/>
        </w:rPr>
        <w:t>ископаемых</w:t>
      </w:r>
      <w:proofErr w:type="gramEnd"/>
      <w:r>
        <w:rPr>
          <w:rFonts w:eastAsia="Calibri"/>
          <w:sz w:val="28"/>
          <w:szCs w:val="28"/>
        </w:rPr>
        <w:t xml:space="preserve"> нетрадиционных геолого-промышленных типов в перспективных регионах России и на ее континентальном шельфе;</w:t>
      </w:r>
    </w:p>
    <w:p w:rsidR="00D25BBF" w:rsidRDefault="00207C76">
      <w:pPr>
        <w:ind w:firstLine="540"/>
        <w:jc w:val="both"/>
      </w:pPr>
      <w:proofErr w:type="gramStart"/>
      <w:r>
        <w:rPr>
          <w:rFonts w:eastAsia="Calibri"/>
          <w:sz w:val="28"/>
          <w:szCs w:val="28"/>
        </w:rPr>
        <w:t xml:space="preserve">обеспечение рационального использования созданной минерально-сырьевой базы за счет вовлечения в эксплуатацию </w:t>
      </w:r>
      <w:proofErr w:type="spellStart"/>
      <w:r>
        <w:rPr>
          <w:rFonts w:eastAsia="Calibri"/>
          <w:sz w:val="28"/>
          <w:szCs w:val="28"/>
        </w:rPr>
        <w:t>трудноизвлекаемых</w:t>
      </w:r>
      <w:proofErr w:type="spellEnd"/>
      <w:r>
        <w:rPr>
          <w:rFonts w:eastAsia="Calibri"/>
          <w:sz w:val="28"/>
          <w:szCs w:val="28"/>
        </w:rPr>
        <w:t xml:space="preserve"> запасов нефти и газа, неразрабатываемых месторождений твердых полезных ископаемых, создания условий для освоения техногенных мес</w:t>
      </w:r>
      <w:r>
        <w:rPr>
          <w:rFonts w:eastAsia="Calibri"/>
          <w:sz w:val="28"/>
          <w:szCs w:val="28"/>
        </w:rPr>
        <w:t>торождений, извлечения ценных компонентов из вскрышных, вмещающих горных пород, а также попутных промышленных вод;</w:t>
      </w:r>
      <w:proofErr w:type="gramEnd"/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воспроизводство и охрана подземных вод;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снижение негативного влияния освоения недр на окружающую среду;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повышение инвестиционной привлекатель</w:t>
      </w:r>
      <w:r>
        <w:rPr>
          <w:rFonts w:eastAsia="Calibri"/>
          <w:sz w:val="28"/>
          <w:szCs w:val="28"/>
        </w:rPr>
        <w:t>ности недропользования и обеспечение устойчивого притока внебюджетных инвестиций в геологоразведочные работы;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ачественное улучшение системы информационного обеспечения недропользования, мониторинга и контроля развития минерально-сырьевой базы Российской Федерации путем развития информационных технологий, в том числе за счет внедрения автоматизированных систем упра</w:t>
      </w:r>
      <w:r>
        <w:rPr>
          <w:rFonts w:eastAsia="Calibri"/>
          <w:sz w:val="28"/>
          <w:szCs w:val="28"/>
        </w:rPr>
        <w:t>вления и регулирования в сфере геологии и недропользования, систем обработки, интерпретации, хранения и предоставления в пользование геологических данных.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Указанные приоритеты направлены на достижение цели по обеспечению экономики страны геологической инфо</w:t>
      </w:r>
      <w:r>
        <w:rPr>
          <w:rFonts w:eastAsia="Calibri"/>
          <w:sz w:val="28"/>
          <w:szCs w:val="28"/>
        </w:rPr>
        <w:t>рмацией о недрах и воспроизводству запасов полезных ископаемых.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Основными целями государственной политики в сфере развития водохозяйственного комплекса являются: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гарантированное обеспечение водными ресурсами устойчивого социально-экономического развития Ро</w:t>
      </w:r>
      <w:r>
        <w:rPr>
          <w:rFonts w:eastAsia="Calibri"/>
          <w:sz w:val="28"/>
          <w:szCs w:val="28"/>
        </w:rPr>
        <w:t>ссийской Федерации. Достижение этой цели позволит обеспечить в долгосрочной перспективе необходимыми водными ресурсами макроэкономическую стабильность и конкурентоспособность экономики Российской Федерации, будет способствовать сбалансированному развитию с</w:t>
      </w:r>
      <w:r>
        <w:rPr>
          <w:rFonts w:eastAsia="Calibri"/>
          <w:sz w:val="28"/>
          <w:szCs w:val="28"/>
        </w:rPr>
        <w:t>траны и поддержанию высокого уровня продовольственной, промышленной и энергетической безопасности;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t>восстановление водных объектов до состояния, обеспечивающего экологически благоприятные условия жизни населения. Улучшение качества воды в водных объектах яв</w:t>
      </w:r>
      <w:r>
        <w:rPr>
          <w:rFonts w:eastAsia="Calibri"/>
          <w:sz w:val="28"/>
          <w:szCs w:val="28"/>
        </w:rPr>
        <w:t>ляется важнейшим условием достижения высоких стандартов жизни населения, создания комфортных экологических условий и обеспечения интересов будущих поколений жителей Российской Федерации;</w:t>
      </w:r>
    </w:p>
    <w:p w:rsidR="00D25BBF" w:rsidRDefault="00207C76">
      <w:pPr>
        <w:ind w:firstLine="540"/>
        <w:jc w:val="both"/>
      </w:pPr>
      <w:r>
        <w:rPr>
          <w:rFonts w:eastAsia="Calibri"/>
          <w:sz w:val="28"/>
          <w:szCs w:val="28"/>
        </w:rPr>
        <w:lastRenderedPageBreak/>
        <w:t>обеспечение защищенности населения и объектов экономики от наводнений</w:t>
      </w:r>
      <w:r>
        <w:rPr>
          <w:rFonts w:eastAsia="Calibri"/>
          <w:sz w:val="28"/>
          <w:szCs w:val="28"/>
        </w:rPr>
        <w:t xml:space="preserve"> и иного негативного воздействия вод. Обеспечение высокого уровня защищенности территорий от чрезвычайных ситуаций природного и техногенного характера является необходимым условием стабильного экономического развития Российской Федерации и снижения размера</w:t>
      </w:r>
      <w:r>
        <w:rPr>
          <w:rFonts w:eastAsia="Calibri"/>
          <w:sz w:val="28"/>
          <w:szCs w:val="28"/>
        </w:rPr>
        <w:t xml:space="preserve"> возможного ущерба от негативного воздействия вод.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Реализация государственной программы Российской Федерации "Воспроизводство и использование природных ресурсов" влияет на достижение показателя "Ликвидация наиболее опасных объектов накопленного вреда окруж</w:t>
      </w:r>
      <w:r>
        <w:rPr>
          <w:rFonts w:eastAsia="Calibri"/>
          <w:sz w:val="28"/>
          <w:szCs w:val="28"/>
        </w:rPr>
        <w:t>ающей среде и экологическое оздоровление водных объектов, включая реку Волгу, озера Байкал и Телецкое" национальной цели развития Российской Федерации "Комфортная и безопасная среда для жизни", определенной Указом Президента Российской Федерации от 21 июля</w:t>
      </w:r>
      <w:r>
        <w:rPr>
          <w:rFonts w:eastAsia="Calibri"/>
          <w:sz w:val="28"/>
          <w:szCs w:val="28"/>
        </w:rPr>
        <w:t xml:space="preserve"> 2020 г. № 474 «О национальных целях развития</w:t>
      </w:r>
      <w:proofErr w:type="gramEnd"/>
      <w:r>
        <w:rPr>
          <w:rFonts w:eastAsia="Calibri"/>
          <w:sz w:val="28"/>
          <w:szCs w:val="28"/>
        </w:rPr>
        <w:t xml:space="preserve"> Российской Федерации на период до 2030 года» (далее - Указ Президента Российской Федерации от 21 июля 2020 г. № 474).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Реализация государственной программы Российской Федерации «Охрана окружающей среды»  оказыва</w:t>
      </w:r>
      <w:r>
        <w:rPr>
          <w:rFonts w:eastAsia="Calibri"/>
          <w:sz w:val="28"/>
          <w:szCs w:val="28"/>
          <w:highlight w:val="white"/>
        </w:rPr>
        <w:t xml:space="preserve">ет влияние на национальную цель развития "Комфортная и безопасная среда для жизни" и ее целевые показатели, установленные </w:t>
      </w:r>
      <w:hyperlink r:id="rId16" w:tooltip="consultantplus://offline/ref=B6F4A11AE8EC2DDC1341537658096C04560E604A19047B020E21BDF02753E5FFB18E9EE40F6B75231B36C01A44s63FG" w:history="1">
        <w:r>
          <w:rPr>
            <w:rFonts w:eastAsia="Calibri"/>
            <w:sz w:val="28"/>
            <w:szCs w:val="28"/>
            <w:highlight w:val="white"/>
          </w:rPr>
          <w:t>Указом</w:t>
        </w:r>
      </w:hyperlink>
      <w:r>
        <w:rPr>
          <w:rFonts w:eastAsia="Calibri"/>
          <w:sz w:val="28"/>
          <w:szCs w:val="28"/>
          <w:highlight w:val="white"/>
        </w:rPr>
        <w:t xml:space="preserve"> Президента Российской Федерации от 21 июля 2020 г. № 474: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создание устойчивой системы обращения с твердыми комму</w:t>
      </w:r>
      <w:r>
        <w:rPr>
          <w:rFonts w:eastAsia="Calibri"/>
          <w:sz w:val="28"/>
          <w:szCs w:val="28"/>
          <w:highlight w:val="white"/>
        </w:rPr>
        <w:t>нальными отходами, обеспечивающей сортировку отходов в объеме 100 процентов и снижение объема отходов, направляемых на полигоны, в 2 раза;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снижение выбросов опасных загрязняющих веществ, оказывающих наибольшее негативное воздействие на окружающую среду и з</w:t>
      </w:r>
      <w:r>
        <w:rPr>
          <w:rFonts w:eastAsia="Calibri"/>
          <w:sz w:val="28"/>
          <w:szCs w:val="28"/>
          <w:highlight w:val="white"/>
        </w:rPr>
        <w:t>доровье человека, в 2 раза;</w:t>
      </w:r>
    </w:p>
    <w:p w:rsidR="00D25BBF" w:rsidRDefault="00207C76">
      <w:pPr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Телецкое.</w:t>
      </w:r>
    </w:p>
    <w:p w:rsidR="00D25BBF" w:rsidRDefault="00D25BB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25BBF" w:rsidRDefault="00207C7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Взаимосвязь государственной программы со стратегическими при</w:t>
      </w:r>
      <w:r>
        <w:rPr>
          <w:rFonts w:ascii="Times New Roman" w:hAnsi="Times New Roman" w:cs="Times New Roman"/>
          <w:sz w:val="28"/>
          <w:szCs w:val="28"/>
        </w:rPr>
        <w:t xml:space="preserve">оритетами, целями и показателями государственных программ Российской Федерации </w:t>
      </w:r>
    </w:p>
    <w:p w:rsidR="00D25BBF" w:rsidRDefault="00207C76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Главные направления государственной экологической политики в России в настоящее время реализуются в рамках национального проекта "Экология", который рассчитан до 2024 года.</w:t>
      </w:r>
    </w:p>
    <w:p w:rsidR="00D25BBF" w:rsidRDefault="00207C76">
      <w:pPr>
        <w:ind w:firstLine="540"/>
        <w:jc w:val="both"/>
      </w:pPr>
      <w:r>
        <w:rPr>
          <w:rFonts w:eastAsia="Calibri"/>
          <w:color w:val="000000" w:themeColor="text1"/>
          <w:sz w:val="28"/>
          <w:szCs w:val="28"/>
        </w:rPr>
        <w:t xml:space="preserve">В </w:t>
      </w:r>
      <w:r>
        <w:rPr>
          <w:rFonts w:eastAsia="Calibri"/>
          <w:color w:val="000000" w:themeColor="text1"/>
          <w:sz w:val="28"/>
          <w:szCs w:val="28"/>
        </w:rPr>
        <w:t>соответствии с Указом № 474 целевыми показателями в сфере экологии, характеризующими достижение национальной цели "Комфортная и безопасная среда для жизни", являются:</w:t>
      </w:r>
    </w:p>
    <w:p w:rsidR="00D25BBF" w:rsidRDefault="00207C76">
      <w:pPr>
        <w:ind w:firstLine="540"/>
        <w:jc w:val="both"/>
      </w:pPr>
      <w:r>
        <w:rPr>
          <w:rFonts w:eastAsia="Calibri"/>
          <w:color w:val="000000" w:themeColor="text1"/>
          <w:sz w:val="28"/>
          <w:szCs w:val="28"/>
        </w:rPr>
        <w:t xml:space="preserve">ликвидация наиболее опасных объектов накопленного вреда окружающей среде и экологическое </w:t>
      </w:r>
      <w:r>
        <w:rPr>
          <w:rFonts w:eastAsia="Calibri"/>
          <w:color w:val="000000" w:themeColor="text1"/>
          <w:sz w:val="28"/>
          <w:szCs w:val="28"/>
        </w:rPr>
        <w:t>оздоровление водных объектов, включая реку Волгу, озера Байкал и Телецкое;</w:t>
      </w:r>
    </w:p>
    <w:p w:rsidR="00D25BBF" w:rsidRDefault="00207C76">
      <w:pPr>
        <w:ind w:firstLine="540"/>
        <w:jc w:val="both"/>
      </w:pPr>
      <w:r>
        <w:rPr>
          <w:rFonts w:eastAsia="Calibri"/>
          <w:color w:val="000000" w:themeColor="text1"/>
          <w:sz w:val="28"/>
          <w:szCs w:val="28"/>
        </w:rP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:rsidR="00D25BBF" w:rsidRDefault="00207C76">
      <w:pPr>
        <w:ind w:firstLine="540"/>
        <w:jc w:val="both"/>
      </w:pPr>
      <w:r>
        <w:rPr>
          <w:rFonts w:eastAsia="Calibri"/>
          <w:color w:val="000000" w:themeColor="text1"/>
          <w:sz w:val="28"/>
          <w:szCs w:val="28"/>
        </w:rPr>
        <w:lastRenderedPageBreak/>
        <w:t>создание устойчивой системы обраще</w:t>
      </w:r>
      <w:r>
        <w:rPr>
          <w:rFonts w:eastAsia="Calibri"/>
          <w:color w:val="000000" w:themeColor="text1"/>
          <w:sz w:val="28"/>
          <w:szCs w:val="28"/>
        </w:rPr>
        <w:t>ния с твердыми, коммунальными отходами, обеспечивающей сортировку отходов в объеме 100 процентов и снижение объема отходов, направляемых на полигоны, в два раза.</w:t>
      </w:r>
    </w:p>
    <w:p w:rsidR="00D25BBF" w:rsidRDefault="00D25BBF">
      <w:pPr>
        <w:ind w:firstLine="540"/>
        <w:jc w:val="both"/>
        <w:rPr>
          <w:color w:val="000000" w:themeColor="text1"/>
          <w:sz w:val="28"/>
          <w:szCs w:val="28"/>
        </w:rPr>
      </w:pPr>
    </w:p>
    <w:p w:rsidR="00D25BBF" w:rsidRDefault="00207C76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Для достижения цели по созданию к 2030 году устойчивой системы обращения с твердыми коммуналь</w:t>
      </w:r>
      <w:r>
        <w:rPr>
          <w:rFonts w:eastAsia="Calibri"/>
          <w:color w:val="000000" w:themeColor="text1"/>
          <w:sz w:val="28"/>
          <w:szCs w:val="28"/>
        </w:rPr>
        <w:t xml:space="preserve">ными отходами, обеспечивающей сортировку отходов в объеме 100 процентов и снижение объема отходов, направляемых на полигоны, в 2 раза, предусмотрено внедрение экономики замкнутого цикла путем обеспечения снижения объемов образования отходов производства и </w:t>
      </w:r>
      <w:r>
        <w:rPr>
          <w:rFonts w:eastAsia="Calibri"/>
          <w:color w:val="000000" w:themeColor="text1"/>
          <w:sz w:val="28"/>
          <w:szCs w:val="28"/>
        </w:rPr>
        <w:t>потребления, развития индустрии их утилизации и вторичного использования.</w:t>
      </w:r>
      <w:proofErr w:type="gramEnd"/>
    </w:p>
    <w:p w:rsidR="00D25BBF" w:rsidRDefault="00207C76">
      <w:pPr>
        <w:spacing w:before="200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Реализация федерального </w:t>
      </w:r>
      <w:hyperlink r:id="rId17" w:tooltip="consultantplus://offline/ref=B0646EAC263D89951D3CAC704D68029D529D1518A2AF8D3078FE600D2C0B32D7F0D530DB9E3C19EE39346DE747E8B944FEFA6F34F532ECD0mE60J" w:history="1">
        <w:r>
          <w:rPr>
            <w:rFonts w:eastAsia="Calibri"/>
            <w:color w:val="000000" w:themeColor="text1"/>
            <w:sz w:val="28"/>
            <w:szCs w:val="28"/>
          </w:rPr>
          <w:t>проекта</w:t>
        </w:r>
      </w:hyperlink>
      <w:r>
        <w:rPr>
          <w:rFonts w:eastAsia="Calibri"/>
          <w:color w:val="000000" w:themeColor="text1"/>
          <w:sz w:val="28"/>
          <w:szCs w:val="28"/>
        </w:rPr>
        <w:t xml:space="preserve"> «Комплексная система обращения с твердыми коммунальными отходами» должна обеспечить достиже</w:t>
      </w:r>
      <w:r>
        <w:rPr>
          <w:rFonts w:eastAsia="Calibri"/>
          <w:color w:val="000000" w:themeColor="text1"/>
          <w:sz w:val="28"/>
          <w:szCs w:val="28"/>
        </w:rPr>
        <w:t>ние следующих результатов:</w:t>
      </w:r>
    </w:p>
    <w:p w:rsidR="00D25BBF" w:rsidRDefault="00207C76">
      <w:pPr>
        <w:spacing w:before="200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снижена 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к 2024 году - 87,9 процента, к 2030 году - 49,8 процента</w:t>
      </w:r>
      <w:r>
        <w:rPr>
          <w:rFonts w:eastAsia="Calibri"/>
          <w:color w:val="000000" w:themeColor="text1"/>
          <w:sz w:val="28"/>
          <w:szCs w:val="28"/>
        </w:rPr>
        <w:t>;</w:t>
      </w:r>
    </w:p>
    <w:p w:rsidR="00D25BBF" w:rsidRDefault="00207C76">
      <w:pPr>
        <w:spacing w:before="200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увеличена доля направленных на обработку (сортировку) твердых коммунальных отходов в общей массе образованных твердых коммунальных отходов к 2024 году - 50,2 процента, к 2030 году - 100 процентов;</w:t>
      </w:r>
    </w:p>
    <w:p w:rsidR="00D25BBF" w:rsidRDefault="00207C76">
      <w:pPr>
        <w:spacing w:before="200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увеличена доля направленных на утилизацию отходов, выделе</w:t>
      </w:r>
      <w:r>
        <w:rPr>
          <w:rFonts w:eastAsia="Calibri"/>
          <w:color w:val="000000" w:themeColor="text1"/>
          <w:sz w:val="28"/>
          <w:szCs w:val="28"/>
        </w:rPr>
        <w:t>нных в результате раздельного накопления и обработки (сортировки) твердых коммунальных отходов, в общей массе твердых коммунальных отходов к 2024 году - 12,1 процента, к 2030 году - 49,5 процента.</w:t>
      </w:r>
    </w:p>
    <w:p w:rsidR="00D25BBF" w:rsidRDefault="00D25BBF">
      <w:pPr>
        <w:jc w:val="both"/>
        <w:rPr>
          <w:color w:val="000000" w:themeColor="text1"/>
          <w:sz w:val="28"/>
          <w:szCs w:val="28"/>
        </w:rPr>
      </w:pPr>
    </w:p>
    <w:p w:rsidR="00D25BBF" w:rsidRDefault="00207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Удмуртской Республики реализуется региональный проект «Комплексная система обращения с твердыми коммунальными отходами».</w:t>
      </w:r>
    </w:p>
    <w:p w:rsidR="00D25BBF" w:rsidRDefault="00207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регионального проекта «Комплексная система обращения с твердыми коммунальными отходами» являются:</w:t>
      </w:r>
    </w:p>
    <w:p w:rsidR="00D25BBF" w:rsidRDefault="00207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</w:t>
      </w:r>
      <w:r>
        <w:rPr>
          <w:sz w:val="28"/>
          <w:szCs w:val="28"/>
        </w:rPr>
        <w:t>ие снижение экологической нагрузки на население за счет сокращения захоронения твердых коммунальных отходов, в том числе прошедших обработку (сортировку);</w:t>
      </w:r>
    </w:p>
    <w:p w:rsidR="00D25BBF" w:rsidRDefault="00207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комплексной системы обращения с твердыми коммунальными отходами, включая создание услови</w:t>
      </w:r>
      <w:r>
        <w:rPr>
          <w:sz w:val="28"/>
          <w:szCs w:val="28"/>
        </w:rPr>
        <w:t xml:space="preserve">й для утилизации запрещенных к захоронению отходов. </w:t>
      </w:r>
    </w:p>
    <w:p w:rsidR="00D25BBF" w:rsidRDefault="00207C7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  <w:highlight w:val="white"/>
        </w:rPr>
        <w:t>Одно из ключевых направлений национального проекта «Экология» по ликвидации несанкционированных свалок в границах городов и особо опасных объектов накопленного вреда окружающей среде – федеральный проект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 «Чистая страна». </w:t>
      </w:r>
    </w:p>
    <w:p w:rsidR="00D25BBF" w:rsidRDefault="00207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федерального и регионального  проекта «</w:t>
      </w:r>
      <w:r>
        <w:rPr>
          <w:sz w:val="28"/>
          <w:szCs w:val="28"/>
        </w:rPr>
        <w:t>Чистая страна</w:t>
      </w:r>
      <w:r>
        <w:rPr>
          <w:sz w:val="28"/>
          <w:szCs w:val="28"/>
        </w:rPr>
        <w:t>» являются:</w:t>
      </w:r>
    </w:p>
    <w:p w:rsidR="00D25BBF" w:rsidRDefault="00207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 в границах городов;</w:t>
      </w:r>
    </w:p>
    <w:p w:rsidR="00D25BBF" w:rsidRDefault="00207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ликвидация наиболее опасных объектов накопленного вреда окружающей среде</w:t>
      </w:r>
      <w:r>
        <w:rPr>
          <w:sz w:val="28"/>
          <w:szCs w:val="28"/>
        </w:rPr>
        <w:t>.</w:t>
      </w:r>
    </w:p>
    <w:p w:rsidR="00D25BBF" w:rsidRDefault="00207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достижении национальных целей ра</w:t>
      </w:r>
      <w:r>
        <w:rPr>
          <w:sz w:val="28"/>
          <w:szCs w:val="28"/>
        </w:rPr>
        <w:t xml:space="preserve">звития Российской Федерации на период до 2030 года, определенных Указом Президента Российской Федерации от 21 июля 2020 г. № 474, значительная роль принадлежит использованию природных ресурсов, развитию минерально-сырьевого и водного потенциалов. Наиболее </w:t>
      </w:r>
      <w:r>
        <w:rPr>
          <w:sz w:val="28"/>
          <w:szCs w:val="28"/>
        </w:rPr>
        <w:t>весомый вклад природных ресурсов отмечается при решении задач в рамках национальных целей развития "Комфортная и безопасная среда для жизни" и "Достойный, эффективный труд и успешное предпринимательство".</w:t>
      </w:r>
    </w:p>
    <w:p w:rsidR="00D25BBF" w:rsidRDefault="00207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задачами, направленными на достижение пок</w:t>
      </w:r>
      <w:r>
        <w:rPr>
          <w:sz w:val="28"/>
          <w:szCs w:val="28"/>
        </w:rPr>
        <w:t>азателя национальной цели в части экологического оздоровления водных объектов, включая реку Волгу, озера Байкал и Телецкое, являются:</w:t>
      </w:r>
    </w:p>
    <w:p w:rsidR="00D25BBF" w:rsidRDefault="00207C7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сохранение и восстановление водных объектов Нижней Волги в рамках федерального проекта "Оздоровление Волги" за счет провед</w:t>
      </w:r>
      <w:r>
        <w:rPr>
          <w:sz w:val="28"/>
          <w:szCs w:val="28"/>
        </w:rPr>
        <w:t>ения мероприятий по расчистке участков водных объектов Нижней Волги, расчистке мелиоративных каналов и водных трактов водохозяйственного комплекса Нижней Волги, удалению водных растений из водных объектов Нижней Волги, экологической реабилитации водных объ</w:t>
      </w:r>
      <w:r>
        <w:rPr>
          <w:sz w:val="28"/>
          <w:szCs w:val="28"/>
        </w:rPr>
        <w:t>ектов, а также расчистки и дноуглублению каналов-рыбоходов;</w:t>
      </w:r>
      <w:proofErr w:type="gramEnd"/>
    </w:p>
    <w:p w:rsidR="00D25BBF" w:rsidRDefault="00207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комплекса работ по восстановлению водных объектов в рамках федерального проекта "Сохранение уникальных водных объектов" за счет проведения мероприятий по восстановлению и улучшению экол</w:t>
      </w:r>
      <w:r>
        <w:rPr>
          <w:sz w:val="28"/>
          <w:szCs w:val="28"/>
        </w:rPr>
        <w:t>огического состояния озер и водохранилищ, расчистке участков русел рек в целях улучшения экологического состояния гидрографической сети.</w:t>
      </w:r>
    </w:p>
    <w:p w:rsidR="00D25BBF" w:rsidRPr="00207C76" w:rsidRDefault="00207C76">
      <w:pPr>
        <w:ind w:firstLine="567"/>
        <w:jc w:val="both"/>
        <w:rPr>
          <w:sz w:val="28"/>
          <w:szCs w:val="28"/>
        </w:rPr>
      </w:pPr>
      <w:r w:rsidRPr="00207C76">
        <w:rPr>
          <w:sz w:val="28"/>
          <w:szCs w:val="28"/>
        </w:rPr>
        <w:t>Наиболее значимыми для общества результатами реализации федерального проекта «Сохранение уникальных водных объектов» яв</w:t>
      </w:r>
      <w:r w:rsidRPr="00207C76">
        <w:rPr>
          <w:sz w:val="28"/>
          <w:szCs w:val="28"/>
        </w:rPr>
        <w:t xml:space="preserve">ляются: </w:t>
      </w:r>
    </w:p>
    <w:p w:rsidR="00D25BBF" w:rsidRPr="00207C76" w:rsidRDefault="00207C76">
      <w:pPr>
        <w:ind w:firstLine="567"/>
        <w:jc w:val="both"/>
        <w:rPr>
          <w:sz w:val="28"/>
          <w:szCs w:val="28"/>
        </w:rPr>
      </w:pPr>
      <w:r w:rsidRPr="00207C76">
        <w:rPr>
          <w:sz w:val="28"/>
          <w:szCs w:val="28"/>
        </w:rPr>
        <w:t xml:space="preserve">- создание новых и восстановление существующих рекреационных зон (места отдыха для населения и туризма - пляжи, лесопарковые зоны и т.д.) на уникальных водных </w:t>
      </w:r>
      <w:proofErr w:type="gramStart"/>
      <w:r w:rsidRPr="00207C76">
        <w:rPr>
          <w:sz w:val="28"/>
          <w:szCs w:val="28"/>
        </w:rPr>
        <w:t>объектах</w:t>
      </w:r>
      <w:proofErr w:type="gramEnd"/>
      <w:r w:rsidRPr="00207C76">
        <w:rPr>
          <w:sz w:val="28"/>
          <w:szCs w:val="28"/>
        </w:rPr>
        <w:t xml:space="preserve"> в том числе на озерах Байкал, Телецкое, Ладожское, Онежское и реках Волга, Дон,</w:t>
      </w:r>
      <w:r w:rsidRPr="00207C76">
        <w:rPr>
          <w:sz w:val="28"/>
          <w:szCs w:val="28"/>
        </w:rPr>
        <w:t xml:space="preserve"> Обь, Енисей, Амур, Урал, Печора; </w:t>
      </w:r>
    </w:p>
    <w:p w:rsidR="00D25BBF" w:rsidRPr="00207C76" w:rsidRDefault="00207C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7C76">
        <w:rPr>
          <w:sz w:val="28"/>
          <w:szCs w:val="28"/>
        </w:rPr>
        <w:t>- формирование в сознании различных возрастных групп населения основных принципов бережного отношения к водным объектам, как к уникальным, жизненно важным ресурсам для населения страны в целом. Научно-методическое, информ</w:t>
      </w:r>
      <w:r w:rsidRPr="00207C76">
        <w:rPr>
          <w:sz w:val="28"/>
          <w:szCs w:val="28"/>
        </w:rPr>
        <w:t xml:space="preserve">ационно-аналитическое и экспертное обеспечение реализации государственной политики в сфере охраны и использования водных ресурсов по федеральному проекту «Сохранение уникальных водных объектов» </w:t>
      </w:r>
      <w:proofErr w:type="gramStart"/>
      <w:r w:rsidRPr="00207C76">
        <w:rPr>
          <w:sz w:val="28"/>
          <w:szCs w:val="28"/>
        </w:rPr>
        <w:t>будет</w:t>
      </w:r>
      <w:proofErr w:type="gramEnd"/>
      <w:r w:rsidRPr="00207C76">
        <w:rPr>
          <w:sz w:val="28"/>
          <w:szCs w:val="28"/>
        </w:rPr>
        <w:t xml:space="preserve"> осуществляется в рамках государственной программы «Воспр</w:t>
      </w:r>
      <w:r w:rsidRPr="00207C76">
        <w:rPr>
          <w:sz w:val="28"/>
          <w:szCs w:val="28"/>
        </w:rPr>
        <w:t xml:space="preserve">оизводство и использование природных ресурсов» в целях научно-экспертного сопровождения федерального проекта, а также повышения экологического образования и формирования экологической культуры граждан. </w:t>
      </w:r>
    </w:p>
    <w:p w:rsidR="00D25BBF" w:rsidRPr="00207C76" w:rsidRDefault="00207C76">
      <w:pPr>
        <w:ind w:firstLine="567"/>
        <w:jc w:val="both"/>
        <w:rPr>
          <w:rFonts w:eastAsia="Calibri"/>
          <w:sz w:val="28"/>
          <w:szCs w:val="28"/>
        </w:rPr>
      </w:pPr>
      <w:r w:rsidRPr="00207C76">
        <w:rPr>
          <w:sz w:val="28"/>
          <w:szCs w:val="28"/>
        </w:rPr>
        <w:t>Целью регионального проекта «</w:t>
      </w:r>
      <w:r w:rsidRPr="00207C76">
        <w:rPr>
          <w:sz w:val="28"/>
          <w:szCs w:val="28"/>
        </w:rPr>
        <w:t>Сохранение уникальных во</w:t>
      </w:r>
      <w:r w:rsidRPr="00207C76">
        <w:rPr>
          <w:sz w:val="28"/>
          <w:szCs w:val="28"/>
        </w:rPr>
        <w:t>дных объектов</w:t>
      </w:r>
      <w:r w:rsidRPr="00207C76">
        <w:rPr>
          <w:sz w:val="28"/>
          <w:szCs w:val="28"/>
        </w:rPr>
        <w:t>» является: «Сохранение и восстановление водных объектов, включая реку Волга, озера Байкал и Телецкое</w:t>
      </w:r>
      <w:r w:rsidRPr="00207C76">
        <w:rPr>
          <w:rFonts w:eastAsia="Calibri"/>
          <w:sz w:val="28"/>
          <w:szCs w:val="28"/>
          <w:lang w:eastAsia="en-US"/>
        </w:rPr>
        <w:t>»</w:t>
      </w:r>
    </w:p>
    <w:p w:rsidR="00D25BBF" w:rsidRPr="00207C76" w:rsidRDefault="00207C76">
      <w:pPr>
        <w:ind w:firstLine="567"/>
        <w:jc w:val="both"/>
        <w:rPr>
          <w:sz w:val="28"/>
          <w:szCs w:val="28"/>
        </w:rPr>
      </w:pPr>
      <w:r w:rsidRPr="00207C76">
        <w:rPr>
          <w:rFonts w:eastAsia="Calibri"/>
          <w:sz w:val="28"/>
          <w:szCs w:val="28"/>
          <w:lang w:eastAsia="en-US"/>
        </w:rPr>
        <w:t xml:space="preserve">Целевые показатели региональных проектов </w:t>
      </w:r>
      <w:proofErr w:type="spellStart"/>
      <w:r w:rsidRPr="00207C76">
        <w:rPr>
          <w:rFonts w:eastAsia="Calibri"/>
          <w:sz w:val="28"/>
          <w:szCs w:val="28"/>
          <w:lang w:eastAsia="en-US"/>
        </w:rPr>
        <w:t>декомпонируются</w:t>
      </w:r>
      <w:proofErr w:type="spellEnd"/>
      <w:r w:rsidRPr="00207C76">
        <w:rPr>
          <w:rFonts w:eastAsia="Calibri"/>
          <w:sz w:val="28"/>
          <w:szCs w:val="28"/>
          <w:lang w:eastAsia="en-US"/>
        </w:rPr>
        <w:t xml:space="preserve"> с показателями федеральных проектов  национального проекта «Экология».  </w:t>
      </w:r>
    </w:p>
    <w:p w:rsidR="00D25BBF" w:rsidRPr="00207C76" w:rsidRDefault="00207C76">
      <w:pPr>
        <w:ind w:firstLine="567"/>
        <w:jc w:val="both"/>
        <w:rPr>
          <w:sz w:val="28"/>
          <w:szCs w:val="28"/>
        </w:rPr>
      </w:pPr>
      <w:r w:rsidRPr="00207C76">
        <w:rPr>
          <w:sz w:val="28"/>
          <w:szCs w:val="28"/>
        </w:rPr>
        <w:lastRenderedPageBreak/>
        <w:t>Национальн</w:t>
      </w:r>
      <w:r w:rsidRPr="00207C76">
        <w:rPr>
          <w:sz w:val="28"/>
          <w:szCs w:val="28"/>
        </w:rPr>
        <w:t xml:space="preserve">ый проект "Экология", и в том числе федеральные проекты "Чистая страна", «Комплексная система обращения с твердыми коммунальными отходами», </w:t>
      </w:r>
      <w:r w:rsidRPr="00207C76">
        <w:rPr>
          <w:sz w:val="28"/>
          <w:szCs w:val="28"/>
        </w:rPr>
        <w:t>«</w:t>
      </w:r>
      <w:r w:rsidRPr="00207C76">
        <w:rPr>
          <w:sz w:val="28"/>
          <w:szCs w:val="28"/>
        </w:rPr>
        <w:t>Сохранение уникальных водных объектов</w:t>
      </w:r>
      <w:r w:rsidRPr="00207C76">
        <w:rPr>
          <w:sz w:val="28"/>
          <w:szCs w:val="28"/>
        </w:rPr>
        <w:t xml:space="preserve">» </w:t>
      </w:r>
      <w:r w:rsidRPr="00207C76">
        <w:rPr>
          <w:sz w:val="28"/>
          <w:szCs w:val="28"/>
        </w:rPr>
        <w:t>реализуются путем включения соответствующих мероприятий в государственную пр</w:t>
      </w:r>
      <w:r w:rsidRPr="00207C76">
        <w:rPr>
          <w:sz w:val="28"/>
          <w:szCs w:val="28"/>
        </w:rPr>
        <w:t>ограмму Российской Федерации «Охрана окружающей среды» и «</w:t>
      </w:r>
      <w:r w:rsidRPr="00207C76">
        <w:rPr>
          <w:sz w:val="28"/>
          <w:szCs w:val="28"/>
        </w:rPr>
        <w:t>Воспроизводство и использование природных ресурсов</w:t>
      </w:r>
      <w:r w:rsidRPr="00207C76">
        <w:rPr>
          <w:sz w:val="28"/>
          <w:szCs w:val="28"/>
        </w:rPr>
        <w:t>».</w:t>
      </w:r>
    </w:p>
    <w:p w:rsidR="00D25BBF" w:rsidRPr="00207C76" w:rsidRDefault="00207C76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207C76">
        <w:rPr>
          <w:sz w:val="28"/>
          <w:szCs w:val="28"/>
        </w:rPr>
        <w:t xml:space="preserve">Настоящая государственная программа соотносится с общегосударственной системой целей, задач, целевых показателей (индикаторов) и рисков, а также </w:t>
      </w:r>
      <w:r w:rsidRPr="00207C76">
        <w:rPr>
          <w:sz w:val="28"/>
          <w:szCs w:val="28"/>
        </w:rPr>
        <w:t xml:space="preserve">с государственными программами Российской Федерации </w:t>
      </w:r>
      <w:r w:rsidRPr="00207C76">
        <w:rPr>
          <w:rFonts w:eastAsia="Calibri"/>
          <w:color w:val="000000" w:themeColor="text1"/>
          <w:sz w:val="28"/>
          <w:szCs w:val="28"/>
        </w:rPr>
        <w:t>«Охрана окружающей среды»,</w:t>
      </w:r>
      <w:r w:rsidRPr="00207C76">
        <w:rPr>
          <w:sz w:val="28"/>
          <w:szCs w:val="28"/>
        </w:rPr>
        <w:t xml:space="preserve"> «Воспроизводство и использование природных ресурсов».</w:t>
      </w:r>
    </w:p>
    <w:p w:rsidR="00D25BBF" w:rsidRPr="00207C76" w:rsidRDefault="00207C76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207C76">
        <w:rPr>
          <w:rFonts w:eastAsia="Calibri"/>
          <w:color w:val="000000" w:themeColor="text1"/>
          <w:sz w:val="28"/>
          <w:szCs w:val="28"/>
        </w:rPr>
        <w:t>Р</w:t>
      </w:r>
      <w:r w:rsidRPr="00207C76">
        <w:rPr>
          <w:rFonts w:eastAsia="Calibri"/>
          <w:color w:val="000000" w:themeColor="text1"/>
          <w:sz w:val="28"/>
          <w:szCs w:val="28"/>
        </w:rPr>
        <w:t>еализация государственной политики в сфере охраны окружающей среды осуществляется в рамках государственной программы Российской Федерации «Охрана окружающей среды», которой определены следующие цели и задачи.</w:t>
      </w:r>
    </w:p>
    <w:p w:rsidR="00D25BBF" w:rsidRPr="00207C76" w:rsidRDefault="00207C76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207C76">
        <w:rPr>
          <w:rFonts w:eastAsia="Calibri"/>
          <w:color w:val="000000" w:themeColor="text1"/>
          <w:sz w:val="28"/>
          <w:szCs w:val="28"/>
        </w:rPr>
        <w:t>Цель: повышение уровня экологической безопаснос</w:t>
      </w:r>
      <w:r w:rsidRPr="00207C76">
        <w:rPr>
          <w:rFonts w:eastAsia="Calibri"/>
          <w:color w:val="000000" w:themeColor="text1"/>
          <w:sz w:val="28"/>
          <w:szCs w:val="28"/>
        </w:rPr>
        <w:t>ти и сохранение природных систем.</w:t>
      </w:r>
    </w:p>
    <w:p w:rsidR="00D25BBF" w:rsidRPr="00207C76" w:rsidRDefault="00207C76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207C76">
        <w:rPr>
          <w:rFonts w:eastAsia="Calibri"/>
          <w:color w:val="000000" w:themeColor="text1"/>
          <w:sz w:val="28"/>
          <w:szCs w:val="28"/>
        </w:rPr>
        <w:t>Задачи: обеспечение качества окружающей среды, необходимого для благоприятной жизни человека;</w:t>
      </w:r>
    </w:p>
    <w:p w:rsidR="00D25BBF" w:rsidRPr="00207C76" w:rsidRDefault="00207C76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207C76">
        <w:rPr>
          <w:rFonts w:eastAsia="Calibri"/>
          <w:color w:val="000000" w:themeColor="text1"/>
          <w:sz w:val="28"/>
          <w:szCs w:val="28"/>
        </w:rPr>
        <w:t>сохранение и восстановление биологического разнообразия Российской Федерации;</w:t>
      </w:r>
    </w:p>
    <w:p w:rsidR="00D25BBF" w:rsidRPr="00207C76" w:rsidRDefault="00207C76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207C76">
        <w:rPr>
          <w:rFonts w:eastAsia="Calibri"/>
          <w:color w:val="000000" w:themeColor="text1"/>
          <w:sz w:val="28"/>
          <w:szCs w:val="28"/>
        </w:rPr>
        <w:t>повышение эффективности функционирования системы г</w:t>
      </w:r>
      <w:r w:rsidRPr="00207C76">
        <w:rPr>
          <w:rFonts w:eastAsia="Calibri"/>
          <w:color w:val="000000" w:themeColor="text1"/>
          <w:sz w:val="28"/>
          <w:szCs w:val="28"/>
        </w:rPr>
        <w:t>идрометеорологии и мониторинга окружающей среды;</w:t>
      </w:r>
    </w:p>
    <w:p w:rsidR="00D25BBF" w:rsidRPr="00207C76" w:rsidRDefault="00207C76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207C76">
        <w:rPr>
          <w:rFonts w:eastAsia="Calibri"/>
          <w:color w:val="000000" w:themeColor="text1"/>
          <w:sz w:val="28"/>
          <w:szCs w:val="28"/>
        </w:rPr>
        <w:t>организация и обеспечение работ и научных исследований в Антарктике, Арктике и на архипелаге Шпицберген;</w:t>
      </w:r>
    </w:p>
    <w:p w:rsidR="00D25BBF" w:rsidRPr="00207C76" w:rsidRDefault="00207C76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207C76">
        <w:rPr>
          <w:rFonts w:eastAsia="Calibri"/>
          <w:color w:val="000000" w:themeColor="text1"/>
          <w:sz w:val="28"/>
          <w:szCs w:val="28"/>
        </w:rPr>
        <w:t>сохранение уникальной экологической системы - озера Байкал.</w:t>
      </w:r>
    </w:p>
    <w:p w:rsidR="00D25BBF" w:rsidRPr="00207C76" w:rsidRDefault="00207C76">
      <w:pPr>
        <w:ind w:firstLine="540"/>
        <w:jc w:val="both"/>
        <w:rPr>
          <w:sz w:val="28"/>
          <w:szCs w:val="28"/>
        </w:rPr>
      </w:pPr>
      <w:r w:rsidRPr="00207C76">
        <w:rPr>
          <w:sz w:val="28"/>
          <w:szCs w:val="28"/>
        </w:rPr>
        <w:t>Задачами государственного управления в обл</w:t>
      </w:r>
      <w:r w:rsidRPr="00207C76">
        <w:rPr>
          <w:sz w:val="28"/>
          <w:szCs w:val="28"/>
        </w:rPr>
        <w:t>асти развития минерально-сырьевой базы, направленными на укрепление национальной безопасности Российской Федерации в рамках достижения цели "Обеспечение экономики страны геологической информацией о недрах и воспроизводство запасов полезных ископаемых на ур</w:t>
      </w:r>
      <w:r w:rsidRPr="00207C76">
        <w:rPr>
          <w:sz w:val="28"/>
          <w:szCs w:val="28"/>
        </w:rPr>
        <w:t>овне, предусмотренном Стратегией развития минерально-сырьевой базы Российской Федерации до 2035 года", являются:</w:t>
      </w:r>
    </w:p>
    <w:p w:rsidR="00D25BBF" w:rsidRPr="00207C76" w:rsidRDefault="00207C76">
      <w:pPr>
        <w:ind w:firstLine="540"/>
        <w:jc w:val="both"/>
        <w:rPr>
          <w:sz w:val="28"/>
          <w:szCs w:val="28"/>
        </w:rPr>
      </w:pPr>
      <w:r w:rsidRPr="00207C76">
        <w:rPr>
          <w:sz w:val="28"/>
          <w:szCs w:val="28"/>
        </w:rPr>
        <w:t>в</w:t>
      </w:r>
      <w:r w:rsidRPr="00207C76">
        <w:rPr>
          <w:sz w:val="28"/>
          <w:szCs w:val="28"/>
        </w:rPr>
        <w:t>ыявление ресурсов и перспективных площадей на углеводородное сырье и твердые полезные ископаемые (решается за счет проведения региональных геолого-геофизических и геолого-съемочных работ, прироста локализованных ресурсов углеводородного сырья и твердых пол</w:t>
      </w:r>
      <w:r w:rsidRPr="00207C76">
        <w:rPr>
          <w:sz w:val="28"/>
          <w:szCs w:val="28"/>
        </w:rPr>
        <w:t>езных ископаемых);</w:t>
      </w:r>
    </w:p>
    <w:p w:rsidR="00D25BBF" w:rsidRPr="00207C76" w:rsidRDefault="00207C76">
      <w:pPr>
        <w:ind w:firstLine="540"/>
        <w:jc w:val="both"/>
        <w:rPr>
          <w:sz w:val="28"/>
          <w:szCs w:val="28"/>
        </w:rPr>
      </w:pPr>
      <w:r w:rsidRPr="00207C76">
        <w:rPr>
          <w:sz w:val="28"/>
          <w:szCs w:val="28"/>
        </w:rPr>
        <w:t>воспроизводство запасов полезных ископаемых (решается посредством проведения разведочных работ, направленных на прирост запасов углеводородного сырья и твердых полезных ископаемых на уровне, предусмотренном Стратегией развития минерально</w:t>
      </w:r>
      <w:r w:rsidRPr="00207C76">
        <w:rPr>
          <w:sz w:val="28"/>
          <w:szCs w:val="28"/>
        </w:rPr>
        <w:t>-сырьевой базы, обеспечения прироста запасов подземных вод для целей питьевого водоснабжения в количестве, необходимом для обеспечения жизнедеятельности населения и экономического развития страны);</w:t>
      </w:r>
    </w:p>
    <w:p w:rsidR="00D25BBF" w:rsidRPr="00207C76" w:rsidRDefault="00207C76">
      <w:pPr>
        <w:ind w:firstLine="540"/>
        <w:jc w:val="both"/>
        <w:rPr>
          <w:sz w:val="28"/>
          <w:szCs w:val="28"/>
        </w:rPr>
      </w:pPr>
      <w:r w:rsidRPr="00207C76">
        <w:rPr>
          <w:sz w:val="28"/>
          <w:szCs w:val="28"/>
        </w:rPr>
        <w:t xml:space="preserve">совершенствование государственного управления фондом недр </w:t>
      </w:r>
      <w:r w:rsidRPr="00207C76">
        <w:rPr>
          <w:sz w:val="28"/>
          <w:szCs w:val="28"/>
        </w:rPr>
        <w:t xml:space="preserve">(решается посредством улучшения системы информационного обеспечения органов государственной власти и </w:t>
      </w:r>
      <w:proofErr w:type="spellStart"/>
      <w:r w:rsidRPr="00207C76">
        <w:rPr>
          <w:sz w:val="28"/>
          <w:szCs w:val="28"/>
        </w:rPr>
        <w:t>недропользователей</w:t>
      </w:r>
      <w:proofErr w:type="spellEnd"/>
      <w:r w:rsidRPr="00207C76">
        <w:rPr>
          <w:sz w:val="28"/>
          <w:szCs w:val="28"/>
        </w:rPr>
        <w:t xml:space="preserve">, перевода государственных </w:t>
      </w:r>
      <w:r w:rsidRPr="00207C76">
        <w:rPr>
          <w:sz w:val="28"/>
          <w:szCs w:val="28"/>
        </w:rPr>
        <w:lastRenderedPageBreak/>
        <w:t>услуг и управления фондом недр на основе цифровых данных, обеспечения геополитических интересов в сфере геолог</w:t>
      </w:r>
      <w:r w:rsidRPr="00207C76">
        <w:rPr>
          <w:sz w:val="28"/>
          <w:szCs w:val="28"/>
        </w:rPr>
        <w:t>ии);</w:t>
      </w:r>
    </w:p>
    <w:p w:rsidR="00D25BBF" w:rsidRPr="00207C76" w:rsidRDefault="00207C76">
      <w:pPr>
        <w:ind w:firstLine="540"/>
        <w:jc w:val="both"/>
        <w:rPr>
          <w:sz w:val="28"/>
          <w:szCs w:val="28"/>
        </w:rPr>
      </w:pPr>
      <w:proofErr w:type="gramStart"/>
      <w:r w:rsidRPr="00207C76">
        <w:rPr>
          <w:sz w:val="28"/>
          <w:szCs w:val="28"/>
        </w:rPr>
        <w:t>создание условий для расширения минерально-сырьевой базы Российской Федерации и агрессивного развития экономики страны к 2030 году (решается посредством реализации федерального проекта "Геология: возрождение легенды", в том числе подготовки перспектив</w:t>
      </w:r>
      <w:r w:rsidRPr="00207C76">
        <w:rPr>
          <w:sz w:val="28"/>
          <w:szCs w:val="28"/>
        </w:rPr>
        <w:t xml:space="preserve">ных площадей для воспроизводства запасов полезных ископаемых в действующих минерально-сырьевых центрах и создания поискового задела будущих поколений, обновления основных средств организаций геологической отрасли, сокращения </w:t>
      </w:r>
      <w:proofErr w:type="spellStart"/>
      <w:r w:rsidRPr="00207C76">
        <w:rPr>
          <w:sz w:val="28"/>
          <w:szCs w:val="28"/>
        </w:rPr>
        <w:t>вододефицита</w:t>
      </w:r>
      <w:proofErr w:type="spellEnd"/>
      <w:r w:rsidRPr="00207C76">
        <w:rPr>
          <w:sz w:val="28"/>
          <w:szCs w:val="28"/>
        </w:rPr>
        <w:t xml:space="preserve"> в наиболее дефицит</w:t>
      </w:r>
      <w:r w:rsidRPr="00207C76">
        <w:rPr>
          <w:sz w:val="28"/>
          <w:szCs w:val="28"/>
        </w:rPr>
        <w:t>ных регионах России, обеспечения международных</w:t>
      </w:r>
      <w:proofErr w:type="gramEnd"/>
      <w:r w:rsidRPr="00207C76">
        <w:rPr>
          <w:sz w:val="28"/>
          <w:szCs w:val="28"/>
        </w:rPr>
        <w:t xml:space="preserve"> обязательств и геополитических интересов Российской Федерации);</w:t>
      </w:r>
    </w:p>
    <w:p w:rsidR="00D25BBF" w:rsidRPr="00207C76" w:rsidRDefault="00207C76">
      <w:pPr>
        <w:ind w:firstLine="540"/>
        <w:jc w:val="both"/>
        <w:rPr>
          <w:sz w:val="28"/>
          <w:szCs w:val="28"/>
        </w:rPr>
      </w:pPr>
      <w:r w:rsidRPr="00207C76">
        <w:rPr>
          <w:sz w:val="28"/>
          <w:szCs w:val="28"/>
        </w:rPr>
        <w:t>снижение негативного воздействия недропользования на окружающую среду (решается за счет ежегодного проведения государственного мониторинга состоя</w:t>
      </w:r>
      <w:r w:rsidRPr="00207C76">
        <w:rPr>
          <w:sz w:val="28"/>
          <w:szCs w:val="28"/>
        </w:rPr>
        <w:t>ния недр, включая мониторинг подземных вод).</w:t>
      </w:r>
    </w:p>
    <w:p w:rsidR="00D25BBF" w:rsidRPr="00207C76" w:rsidRDefault="00207C76">
      <w:pPr>
        <w:ind w:firstLine="540"/>
        <w:jc w:val="both"/>
        <w:rPr>
          <w:rFonts w:eastAsia="Calibri"/>
          <w:sz w:val="28"/>
          <w:szCs w:val="28"/>
        </w:rPr>
      </w:pPr>
      <w:r w:rsidRPr="00207C76">
        <w:rPr>
          <w:rFonts w:eastAsia="Calibri"/>
          <w:sz w:val="28"/>
          <w:szCs w:val="28"/>
        </w:rPr>
        <w:t>В целях эффективной реализации программно-целевого метода управления  в каждом субъекте Российской Федерации обеспечиваются принятие и реализация государственных программ субъектов Российской Федерации, охватыва</w:t>
      </w:r>
      <w:r w:rsidRPr="00207C76">
        <w:rPr>
          <w:rFonts w:eastAsia="Calibri"/>
          <w:sz w:val="28"/>
          <w:szCs w:val="28"/>
        </w:rPr>
        <w:t>ющих в полной мере все ключевые направления деятельности в области охраны окружающей среды и природных ресурсов с учетом региональной специфики.</w:t>
      </w:r>
    </w:p>
    <w:p w:rsidR="00D25BBF" w:rsidRPr="00207C76" w:rsidRDefault="00D25BBF">
      <w:pPr>
        <w:ind w:firstLine="540"/>
        <w:jc w:val="both"/>
        <w:rPr>
          <w:rFonts w:eastAsia="Calibri"/>
          <w:color w:val="FF0000"/>
          <w:sz w:val="28"/>
          <w:szCs w:val="28"/>
        </w:rPr>
      </w:pPr>
    </w:p>
    <w:p w:rsidR="00D25BBF" w:rsidRPr="00207C76" w:rsidRDefault="00207C76">
      <w:pPr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207C76">
        <w:rPr>
          <w:rFonts w:eastAsia="Calibri"/>
          <w:b/>
          <w:sz w:val="28"/>
          <w:szCs w:val="28"/>
          <w:lang w:eastAsia="en-US"/>
        </w:rPr>
        <w:t>4. Задачи государственного управления,</w:t>
      </w:r>
      <w:r w:rsidRPr="00207C76">
        <w:rPr>
          <w:rFonts w:eastAsia="Calibri"/>
          <w:b/>
          <w:sz w:val="28"/>
          <w:szCs w:val="28"/>
          <w:lang w:eastAsia="en-US"/>
        </w:rPr>
        <w:t xml:space="preserve"> способы их эффективного решения в сфере охраны окружающей среды и природных ресурсов</w:t>
      </w:r>
    </w:p>
    <w:p w:rsidR="00D25BBF" w:rsidRPr="00207C76" w:rsidRDefault="00D25BBF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25BBF" w:rsidRPr="00207C76" w:rsidRDefault="00207C7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7C76">
        <w:rPr>
          <w:rFonts w:eastAsia="Calibri"/>
          <w:sz w:val="28"/>
          <w:szCs w:val="28"/>
          <w:lang w:eastAsia="en-US"/>
        </w:rPr>
        <w:t>При разработке государственной программы Удмуртской Республики «</w:t>
      </w:r>
      <w:r w:rsidRPr="00207C76">
        <w:rPr>
          <w:sz w:val="28"/>
          <w:szCs w:val="28"/>
        </w:rPr>
        <w:t>Окружающая среда и природные ресурсы</w:t>
      </w:r>
      <w:r w:rsidRPr="00207C76">
        <w:rPr>
          <w:rFonts w:eastAsia="Calibri"/>
          <w:sz w:val="28"/>
          <w:szCs w:val="28"/>
          <w:lang w:eastAsia="en-US"/>
        </w:rPr>
        <w:t xml:space="preserve">» использованы стратегические документы </w:t>
      </w:r>
      <w:r w:rsidRPr="00207C76">
        <w:rPr>
          <w:sz w:val="28"/>
          <w:szCs w:val="28"/>
        </w:rPr>
        <w:t xml:space="preserve">развития лесного комплекса Российской Федерации, определены цели и задачи и намечены пути решения задач с учетом существующей и прогнозной социально-экономической ситуации в стране. </w:t>
      </w:r>
    </w:p>
    <w:p w:rsidR="00D25BBF" w:rsidRPr="00207C76" w:rsidRDefault="00207C76">
      <w:pPr>
        <w:pStyle w:val="ConsPlusNormal"/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207C76">
        <w:rPr>
          <w:sz w:val="28"/>
          <w:szCs w:val="28"/>
        </w:rPr>
        <w:t>Основным механизмом достижения цели «</w:t>
      </w:r>
      <w:r w:rsidRPr="00207C76">
        <w:rPr>
          <w:sz w:val="28"/>
          <w:szCs w:val="28"/>
        </w:rPr>
        <w:t>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</w:t>
      </w:r>
      <w:r w:rsidRPr="00207C76">
        <w:rPr>
          <w:sz w:val="28"/>
          <w:szCs w:val="28"/>
        </w:rPr>
        <w:t xml:space="preserve"> жителей Удмуртской Республики</w:t>
      </w:r>
      <w:r w:rsidRPr="00207C76">
        <w:rPr>
          <w:sz w:val="28"/>
          <w:szCs w:val="28"/>
        </w:rPr>
        <w:t>» является реализация комплекса процессных мероприятий «</w:t>
      </w:r>
      <w:r w:rsidRPr="00207C76">
        <w:rPr>
          <w:spacing w:val="-2"/>
          <w:sz w:val="28"/>
          <w:szCs w:val="28"/>
        </w:rPr>
        <w:t>Обеспечение охраны, зашиты, воспроизводства и использования лесо</w:t>
      </w:r>
      <w:r w:rsidRPr="00207C76">
        <w:rPr>
          <w:spacing w:val="-2"/>
          <w:sz w:val="28"/>
          <w:szCs w:val="28"/>
        </w:rPr>
        <w:t>в</w:t>
      </w:r>
      <w:r w:rsidRPr="00207C76">
        <w:rPr>
          <w:sz w:val="28"/>
          <w:szCs w:val="28"/>
        </w:rPr>
        <w:t>», в рамках которого будут решаться следующие задачи:</w:t>
      </w:r>
    </w:p>
    <w:p w:rsidR="00D25BBF" w:rsidRPr="00207C76" w:rsidRDefault="00207C76">
      <w:pPr>
        <w:pStyle w:val="ConsPlusNormal"/>
        <w:ind w:firstLine="426"/>
        <w:jc w:val="both"/>
        <w:rPr>
          <w:sz w:val="28"/>
          <w:szCs w:val="28"/>
        </w:rPr>
      </w:pPr>
      <w:r w:rsidRPr="00207C76">
        <w:rPr>
          <w:sz w:val="28"/>
          <w:szCs w:val="28"/>
        </w:rPr>
        <w:t>повышение эффективности предупреждения, обнаружения</w:t>
      </w:r>
      <w:r w:rsidRPr="00207C76">
        <w:rPr>
          <w:sz w:val="28"/>
          <w:szCs w:val="28"/>
        </w:rPr>
        <w:t xml:space="preserve"> и тушения лесных пожаров, защиты лесов от вредных организмов, антропогенного воздействия;</w:t>
      </w:r>
    </w:p>
    <w:p w:rsidR="00D25BBF" w:rsidRPr="00207C76" w:rsidRDefault="00207C76">
      <w:pPr>
        <w:pStyle w:val="ConsPlusNormal"/>
        <w:ind w:firstLine="426"/>
        <w:jc w:val="both"/>
        <w:rPr>
          <w:sz w:val="28"/>
          <w:szCs w:val="28"/>
        </w:rPr>
      </w:pPr>
      <w:r w:rsidRPr="00207C76">
        <w:rPr>
          <w:sz w:val="28"/>
          <w:szCs w:val="28"/>
        </w:rPr>
        <w:t>организация интенсивного использования лесов с учетом сохранения их экологического потенциала, лесное планирование и регламентирование;</w:t>
      </w:r>
    </w:p>
    <w:p w:rsidR="00D25BBF" w:rsidRPr="00207C76" w:rsidRDefault="00207C76">
      <w:pPr>
        <w:pStyle w:val="ConsPlusNormal"/>
        <w:ind w:firstLine="426"/>
        <w:jc w:val="both"/>
        <w:rPr>
          <w:sz w:val="28"/>
          <w:szCs w:val="28"/>
        </w:rPr>
      </w:pPr>
      <w:r w:rsidRPr="00207C76">
        <w:rPr>
          <w:sz w:val="28"/>
          <w:szCs w:val="28"/>
        </w:rPr>
        <w:t xml:space="preserve">осуществление интенсивного </w:t>
      </w:r>
      <w:proofErr w:type="spellStart"/>
      <w:r w:rsidRPr="00207C76">
        <w:rPr>
          <w:sz w:val="28"/>
          <w:szCs w:val="28"/>
        </w:rPr>
        <w:t>ле</w:t>
      </w:r>
      <w:r w:rsidRPr="00207C76">
        <w:rPr>
          <w:sz w:val="28"/>
          <w:szCs w:val="28"/>
        </w:rPr>
        <w:t>совосстановления</w:t>
      </w:r>
      <w:proofErr w:type="spellEnd"/>
      <w:r w:rsidRPr="00207C76">
        <w:rPr>
          <w:sz w:val="28"/>
          <w:szCs w:val="28"/>
        </w:rPr>
        <w:t xml:space="preserve"> и лесоразведения, обеспечивающих сохранение экологического потенциала лесов, а также ухода за лесами, повышение продуктивности и улучшение породного состава лесов.</w:t>
      </w:r>
    </w:p>
    <w:p w:rsidR="00D25BBF" w:rsidRPr="00207C76" w:rsidRDefault="00207C76">
      <w:pPr>
        <w:ind w:firstLine="567"/>
        <w:jc w:val="both"/>
        <w:rPr>
          <w:sz w:val="28"/>
          <w:szCs w:val="28"/>
        </w:rPr>
      </w:pPr>
      <w:r w:rsidRPr="00207C76">
        <w:rPr>
          <w:sz w:val="28"/>
          <w:szCs w:val="28"/>
        </w:rPr>
        <w:lastRenderedPageBreak/>
        <w:t>Способом эффективного решения задач настоящей государственной программы явл</w:t>
      </w:r>
      <w:r w:rsidRPr="00207C76">
        <w:rPr>
          <w:sz w:val="28"/>
          <w:szCs w:val="28"/>
        </w:rPr>
        <w:t xml:space="preserve">яется своевременное и полноценное обеспечение достижения ожидаемых эффектов в рамках ее структурных элементов: </w:t>
      </w:r>
    </w:p>
    <w:p w:rsidR="00D25BBF" w:rsidRPr="00207C76" w:rsidRDefault="00207C76">
      <w:pPr>
        <w:pStyle w:val="af7"/>
        <w:numPr>
          <w:ilvl w:val="0"/>
          <w:numId w:val="2"/>
        </w:numPr>
        <w:jc w:val="both"/>
        <w:rPr>
          <w:sz w:val="28"/>
          <w:szCs w:val="28"/>
        </w:rPr>
      </w:pPr>
      <w:r w:rsidRPr="00207C76">
        <w:rPr>
          <w:sz w:val="28"/>
          <w:szCs w:val="28"/>
        </w:rPr>
        <w:t>комплекс процессных мероприятий «</w:t>
      </w:r>
      <w:r w:rsidRPr="00207C76">
        <w:rPr>
          <w:spacing w:val="-2"/>
          <w:sz w:val="28"/>
          <w:szCs w:val="28"/>
        </w:rPr>
        <w:t>Обеспечение охраны, зашиты, воспроизводства и использования лесов</w:t>
      </w:r>
      <w:r w:rsidRPr="00207C76">
        <w:rPr>
          <w:sz w:val="28"/>
          <w:szCs w:val="28"/>
        </w:rPr>
        <w:t>»;</w:t>
      </w:r>
    </w:p>
    <w:p w:rsidR="00D25BBF" w:rsidRPr="00207C76" w:rsidRDefault="00207C76">
      <w:pPr>
        <w:pStyle w:val="af7"/>
        <w:numPr>
          <w:ilvl w:val="0"/>
          <w:numId w:val="2"/>
        </w:numPr>
        <w:jc w:val="both"/>
        <w:rPr>
          <w:sz w:val="28"/>
          <w:szCs w:val="28"/>
        </w:rPr>
      </w:pPr>
      <w:r w:rsidRPr="00207C76">
        <w:rPr>
          <w:sz w:val="28"/>
          <w:szCs w:val="28"/>
        </w:rPr>
        <w:t>комплекс процессных мероприятий «</w:t>
      </w:r>
      <w:r w:rsidRPr="00207C76">
        <w:rPr>
          <w:spacing w:val="-2"/>
          <w:sz w:val="28"/>
          <w:szCs w:val="28"/>
        </w:rPr>
        <w:t>Обеспечени</w:t>
      </w:r>
      <w:r w:rsidRPr="00207C76">
        <w:rPr>
          <w:spacing w:val="-2"/>
          <w:sz w:val="28"/>
          <w:szCs w:val="28"/>
        </w:rPr>
        <w:t>е деятельности и выполнение функций Министерства природных ресурсов и охраны окружаю</w:t>
      </w:r>
      <w:r w:rsidRPr="00207C76">
        <w:rPr>
          <w:color w:val="000000"/>
          <w:spacing w:val="-2"/>
          <w:sz w:val="28"/>
          <w:szCs w:val="28"/>
        </w:rPr>
        <w:t>щей среды Удмуртской Республики</w:t>
      </w:r>
      <w:r w:rsidRPr="00207C76">
        <w:rPr>
          <w:sz w:val="28"/>
          <w:szCs w:val="28"/>
        </w:rPr>
        <w:t>»;</w:t>
      </w:r>
    </w:p>
    <w:p w:rsidR="00D25BBF" w:rsidRPr="00207C76" w:rsidRDefault="00207C76">
      <w:pPr>
        <w:pStyle w:val="af7"/>
        <w:numPr>
          <w:ilvl w:val="0"/>
          <w:numId w:val="2"/>
        </w:numPr>
        <w:jc w:val="both"/>
        <w:rPr>
          <w:sz w:val="28"/>
          <w:szCs w:val="28"/>
        </w:rPr>
      </w:pPr>
      <w:r w:rsidRPr="00207C76">
        <w:rPr>
          <w:sz w:val="28"/>
          <w:szCs w:val="28"/>
        </w:rPr>
        <w:t>региональный проект «Сохранение лесов».</w:t>
      </w:r>
    </w:p>
    <w:p w:rsidR="00D25BBF" w:rsidRPr="00207C76" w:rsidRDefault="00207C76">
      <w:pPr>
        <w:ind w:firstLine="567"/>
        <w:jc w:val="both"/>
        <w:rPr>
          <w:rFonts w:eastAsia="Calibri"/>
          <w:sz w:val="28"/>
          <w:szCs w:val="28"/>
        </w:rPr>
      </w:pPr>
      <w:r w:rsidRPr="00207C76">
        <w:rPr>
          <w:sz w:val="28"/>
          <w:szCs w:val="28"/>
        </w:rPr>
        <w:t>Государственная программа содержит одно направление «Реализация переданных полномочий в области ле</w:t>
      </w:r>
      <w:r w:rsidRPr="00207C76">
        <w:rPr>
          <w:sz w:val="28"/>
          <w:szCs w:val="28"/>
        </w:rPr>
        <w:t>сных отношений», обеспечивающее достижение показателей (индикаторов) государственной программы и ее структурных элементов.</w:t>
      </w:r>
      <w:r w:rsidRPr="00207C76">
        <w:rPr>
          <w:rFonts w:eastAsia="Calibri"/>
          <w:sz w:val="28"/>
          <w:szCs w:val="28"/>
          <w:lang w:eastAsia="en-US"/>
        </w:rPr>
        <w:t xml:space="preserve"> </w:t>
      </w:r>
    </w:p>
    <w:p w:rsidR="00D25BBF" w:rsidRPr="00207C76" w:rsidRDefault="00D25BBF">
      <w:pPr>
        <w:pStyle w:val="ConsPlusNormal"/>
        <w:jc w:val="center"/>
        <w:rPr>
          <w:sz w:val="28"/>
          <w:szCs w:val="28"/>
        </w:rPr>
      </w:pPr>
    </w:p>
    <w:p w:rsidR="00D25BBF" w:rsidRPr="00207C76" w:rsidRDefault="00D25BBF">
      <w:pPr>
        <w:pStyle w:val="ConsPlusNormal"/>
        <w:jc w:val="center"/>
        <w:rPr>
          <w:sz w:val="28"/>
          <w:szCs w:val="28"/>
        </w:rPr>
      </w:pPr>
    </w:p>
    <w:p w:rsidR="00D25BBF" w:rsidRPr="00207C76" w:rsidRDefault="00D25BBF">
      <w:pPr>
        <w:pStyle w:val="ConsPlusNormal"/>
        <w:jc w:val="center"/>
        <w:rPr>
          <w:sz w:val="28"/>
          <w:szCs w:val="28"/>
        </w:rPr>
      </w:pPr>
    </w:p>
    <w:p w:rsidR="00D25BBF" w:rsidRPr="00207C76" w:rsidRDefault="00207C76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207C76">
        <w:rPr>
          <w:sz w:val="28"/>
          <w:szCs w:val="28"/>
        </w:rPr>
        <w:t>____________</w:t>
      </w:r>
    </w:p>
    <w:sectPr w:rsidR="00D25BBF" w:rsidRPr="00207C76">
      <w:headerReference w:type="default" r:id="rId18"/>
      <w:footerReference w:type="firs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BF" w:rsidRDefault="00207C76">
      <w:r>
        <w:separator/>
      </w:r>
    </w:p>
  </w:endnote>
  <w:endnote w:type="continuationSeparator" w:id="0">
    <w:p w:rsidR="00D25BBF" w:rsidRDefault="0020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BF" w:rsidRDefault="00D25BBF">
    <w:pPr>
      <w:pStyle w:val="afa"/>
    </w:pPr>
  </w:p>
  <w:p w:rsidR="00D25BBF" w:rsidRDefault="00D25BB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BF" w:rsidRDefault="00207C76">
      <w:r>
        <w:separator/>
      </w:r>
    </w:p>
  </w:footnote>
  <w:footnote w:type="continuationSeparator" w:id="0">
    <w:p w:rsidR="00D25BBF" w:rsidRDefault="0020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BF" w:rsidRDefault="00207C7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D25BBF" w:rsidRDefault="00D25BBF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0BC"/>
    <w:multiLevelType w:val="hybridMultilevel"/>
    <w:tmpl w:val="3B7C843E"/>
    <w:lvl w:ilvl="0" w:tplc="E2962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838BA4C">
      <w:start w:val="1"/>
      <w:numFmt w:val="lowerLetter"/>
      <w:lvlText w:val="%2."/>
      <w:lvlJc w:val="left"/>
      <w:pPr>
        <w:ind w:left="1620" w:hanging="360"/>
      </w:pPr>
    </w:lvl>
    <w:lvl w:ilvl="2" w:tplc="6D7CC0AC">
      <w:start w:val="1"/>
      <w:numFmt w:val="lowerRoman"/>
      <w:lvlText w:val="%3."/>
      <w:lvlJc w:val="right"/>
      <w:pPr>
        <w:ind w:left="2340" w:hanging="180"/>
      </w:pPr>
    </w:lvl>
    <w:lvl w:ilvl="3" w:tplc="FFDAE51C">
      <w:start w:val="1"/>
      <w:numFmt w:val="decimal"/>
      <w:lvlText w:val="%4."/>
      <w:lvlJc w:val="left"/>
      <w:pPr>
        <w:ind w:left="3060" w:hanging="360"/>
      </w:pPr>
    </w:lvl>
    <w:lvl w:ilvl="4" w:tplc="285E0CA0">
      <w:start w:val="1"/>
      <w:numFmt w:val="lowerLetter"/>
      <w:lvlText w:val="%5."/>
      <w:lvlJc w:val="left"/>
      <w:pPr>
        <w:ind w:left="3780" w:hanging="360"/>
      </w:pPr>
    </w:lvl>
    <w:lvl w:ilvl="5" w:tplc="DA104718">
      <w:start w:val="1"/>
      <w:numFmt w:val="lowerRoman"/>
      <w:lvlText w:val="%6."/>
      <w:lvlJc w:val="right"/>
      <w:pPr>
        <w:ind w:left="4500" w:hanging="180"/>
      </w:pPr>
    </w:lvl>
    <w:lvl w:ilvl="6" w:tplc="E06E7A7E">
      <w:start w:val="1"/>
      <w:numFmt w:val="decimal"/>
      <w:lvlText w:val="%7."/>
      <w:lvlJc w:val="left"/>
      <w:pPr>
        <w:ind w:left="5220" w:hanging="360"/>
      </w:pPr>
    </w:lvl>
    <w:lvl w:ilvl="7" w:tplc="DA7C4FA2">
      <w:start w:val="1"/>
      <w:numFmt w:val="lowerLetter"/>
      <w:lvlText w:val="%8."/>
      <w:lvlJc w:val="left"/>
      <w:pPr>
        <w:ind w:left="5940" w:hanging="360"/>
      </w:pPr>
    </w:lvl>
    <w:lvl w:ilvl="8" w:tplc="6A501E0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75F91"/>
    <w:multiLevelType w:val="hybridMultilevel"/>
    <w:tmpl w:val="0DB2E3EA"/>
    <w:lvl w:ilvl="0" w:tplc="474801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9154C83E">
      <w:start w:val="1"/>
      <w:numFmt w:val="lowerLetter"/>
      <w:lvlText w:val="%2."/>
      <w:lvlJc w:val="left"/>
      <w:pPr>
        <w:ind w:left="1620" w:hanging="360"/>
      </w:pPr>
    </w:lvl>
    <w:lvl w:ilvl="2" w:tplc="AECA2276">
      <w:start w:val="1"/>
      <w:numFmt w:val="lowerRoman"/>
      <w:lvlText w:val="%3."/>
      <w:lvlJc w:val="right"/>
      <w:pPr>
        <w:ind w:left="2340" w:hanging="180"/>
      </w:pPr>
    </w:lvl>
    <w:lvl w:ilvl="3" w:tplc="56463260">
      <w:start w:val="1"/>
      <w:numFmt w:val="decimal"/>
      <w:lvlText w:val="%4."/>
      <w:lvlJc w:val="left"/>
      <w:pPr>
        <w:ind w:left="3060" w:hanging="360"/>
      </w:pPr>
    </w:lvl>
    <w:lvl w:ilvl="4" w:tplc="1078139C">
      <w:start w:val="1"/>
      <w:numFmt w:val="lowerLetter"/>
      <w:lvlText w:val="%5."/>
      <w:lvlJc w:val="left"/>
      <w:pPr>
        <w:ind w:left="3780" w:hanging="360"/>
      </w:pPr>
    </w:lvl>
    <w:lvl w:ilvl="5" w:tplc="95BA95EC">
      <w:start w:val="1"/>
      <w:numFmt w:val="lowerRoman"/>
      <w:lvlText w:val="%6."/>
      <w:lvlJc w:val="right"/>
      <w:pPr>
        <w:ind w:left="4500" w:hanging="180"/>
      </w:pPr>
    </w:lvl>
    <w:lvl w:ilvl="6" w:tplc="2D2AE966">
      <w:start w:val="1"/>
      <w:numFmt w:val="decimal"/>
      <w:lvlText w:val="%7."/>
      <w:lvlJc w:val="left"/>
      <w:pPr>
        <w:ind w:left="5220" w:hanging="360"/>
      </w:pPr>
    </w:lvl>
    <w:lvl w:ilvl="7" w:tplc="83A2779C">
      <w:start w:val="1"/>
      <w:numFmt w:val="lowerLetter"/>
      <w:lvlText w:val="%8."/>
      <w:lvlJc w:val="left"/>
      <w:pPr>
        <w:ind w:left="5940" w:hanging="360"/>
      </w:pPr>
    </w:lvl>
    <w:lvl w:ilvl="8" w:tplc="F6CA24F6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6D6B28"/>
    <w:multiLevelType w:val="hybridMultilevel"/>
    <w:tmpl w:val="66264372"/>
    <w:lvl w:ilvl="0" w:tplc="E108824A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E6ACEAC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40BCC4C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4A261B4E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CBD43D9A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8C2AADA6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312234C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0210805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188CF10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>
    <w:nsid w:val="4BEC63EE"/>
    <w:multiLevelType w:val="hybridMultilevel"/>
    <w:tmpl w:val="EFB4567E"/>
    <w:lvl w:ilvl="0" w:tplc="9940DAD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99FA78CA">
      <w:start w:val="1"/>
      <w:numFmt w:val="lowerLetter"/>
      <w:lvlText w:val="%2."/>
      <w:lvlJc w:val="left"/>
      <w:pPr>
        <w:ind w:left="1620" w:hanging="360"/>
      </w:pPr>
    </w:lvl>
    <w:lvl w:ilvl="2" w:tplc="424A7872">
      <w:start w:val="1"/>
      <w:numFmt w:val="lowerRoman"/>
      <w:lvlText w:val="%3."/>
      <w:lvlJc w:val="right"/>
      <w:pPr>
        <w:ind w:left="2340" w:hanging="180"/>
      </w:pPr>
    </w:lvl>
    <w:lvl w:ilvl="3" w:tplc="51C66A5A">
      <w:start w:val="1"/>
      <w:numFmt w:val="decimal"/>
      <w:lvlText w:val="%4."/>
      <w:lvlJc w:val="left"/>
      <w:pPr>
        <w:ind w:left="3060" w:hanging="360"/>
      </w:pPr>
    </w:lvl>
    <w:lvl w:ilvl="4" w:tplc="8D1E401E">
      <w:start w:val="1"/>
      <w:numFmt w:val="lowerLetter"/>
      <w:lvlText w:val="%5."/>
      <w:lvlJc w:val="left"/>
      <w:pPr>
        <w:ind w:left="3780" w:hanging="360"/>
      </w:pPr>
    </w:lvl>
    <w:lvl w:ilvl="5" w:tplc="0938F06A">
      <w:start w:val="1"/>
      <w:numFmt w:val="lowerRoman"/>
      <w:lvlText w:val="%6."/>
      <w:lvlJc w:val="right"/>
      <w:pPr>
        <w:ind w:left="4500" w:hanging="180"/>
      </w:pPr>
    </w:lvl>
    <w:lvl w:ilvl="6" w:tplc="93CEBA08">
      <w:start w:val="1"/>
      <w:numFmt w:val="decimal"/>
      <w:lvlText w:val="%7."/>
      <w:lvlJc w:val="left"/>
      <w:pPr>
        <w:ind w:left="5220" w:hanging="360"/>
      </w:pPr>
    </w:lvl>
    <w:lvl w:ilvl="7" w:tplc="3EFC9C40">
      <w:start w:val="1"/>
      <w:numFmt w:val="lowerLetter"/>
      <w:lvlText w:val="%8."/>
      <w:lvlJc w:val="left"/>
      <w:pPr>
        <w:ind w:left="5940" w:hanging="360"/>
      </w:pPr>
    </w:lvl>
    <w:lvl w:ilvl="8" w:tplc="D61C6BE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7F674A"/>
    <w:multiLevelType w:val="hybridMultilevel"/>
    <w:tmpl w:val="A718D646"/>
    <w:lvl w:ilvl="0" w:tplc="B6008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E42DA">
      <w:start w:val="1"/>
      <w:numFmt w:val="lowerLetter"/>
      <w:lvlText w:val="%2."/>
      <w:lvlJc w:val="left"/>
      <w:pPr>
        <w:ind w:left="1440" w:hanging="360"/>
      </w:pPr>
    </w:lvl>
    <w:lvl w:ilvl="2" w:tplc="F552F556">
      <w:start w:val="1"/>
      <w:numFmt w:val="lowerRoman"/>
      <w:lvlText w:val="%3."/>
      <w:lvlJc w:val="right"/>
      <w:pPr>
        <w:ind w:left="2160" w:hanging="180"/>
      </w:pPr>
    </w:lvl>
    <w:lvl w:ilvl="3" w:tplc="A6929E8E">
      <w:start w:val="1"/>
      <w:numFmt w:val="decimal"/>
      <w:lvlText w:val="%4."/>
      <w:lvlJc w:val="left"/>
      <w:pPr>
        <w:ind w:left="2880" w:hanging="360"/>
      </w:pPr>
    </w:lvl>
    <w:lvl w:ilvl="4" w:tplc="3E56C47A">
      <w:start w:val="1"/>
      <w:numFmt w:val="lowerLetter"/>
      <w:lvlText w:val="%5."/>
      <w:lvlJc w:val="left"/>
      <w:pPr>
        <w:ind w:left="3600" w:hanging="360"/>
      </w:pPr>
    </w:lvl>
    <w:lvl w:ilvl="5" w:tplc="F9ACD978">
      <w:start w:val="1"/>
      <w:numFmt w:val="lowerRoman"/>
      <w:lvlText w:val="%6."/>
      <w:lvlJc w:val="right"/>
      <w:pPr>
        <w:ind w:left="4320" w:hanging="180"/>
      </w:pPr>
    </w:lvl>
    <w:lvl w:ilvl="6" w:tplc="929839AC">
      <w:start w:val="1"/>
      <w:numFmt w:val="decimal"/>
      <w:lvlText w:val="%7."/>
      <w:lvlJc w:val="left"/>
      <w:pPr>
        <w:ind w:left="5040" w:hanging="360"/>
      </w:pPr>
    </w:lvl>
    <w:lvl w:ilvl="7" w:tplc="CB122DDE">
      <w:start w:val="1"/>
      <w:numFmt w:val="lowerLetter"/>
      <w:lvlText w:val="%8."/>
      <w:lvlJc w:val="left"/>
      <w:pPr>
        <w:ind w:left="5760" w:hanging="360"/>
      </w:pPr>
    </w:lvl>
    <w:lvl w:ilvl="8" w:tplc="0EF2B2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BF"/>
    <w:rsid w:val="00207C76"/>
    <w:rsid w:val="00D2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eastAsia="Times New Roman" w:hAnsi="Courier New" w:cs="Courier New"/>
      <w:szCs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pPr>
      <w:widowControl w:val="0"/>
    </w:pPr>
    <w:rPr>
      <w:rFonts w:ascii="Liberation Serif" w:eastAsia="Times New Roman" w:hAnsi="Liberation Serif" w:cs="Tahoma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eastAsia="Times New Roman" w:hAnsi="Courier New" w:cs="Courier New"/>
      <w:szCs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pPr>
      <w:widowControl w:val="0"/>
    </w:pPr>
    <w:rPr>
      <w:rFonts w:ascii="Liberation Serif" w:eastAsia="Times New Roman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F4A11AE8EC2DDC1341537658096C0454096E421A047B020E21BDF02753E5FFA38EC6E80D636B231A23964B02393DB0B6EA0D176C547205s53F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F4A11AE8EC2DDC1341537658096C0456036E411C027B020E21BDF02753E5FFA38EC6E80D636B231923964B02393DB0B6EA0D176C547205s53FG" TargetMode="External"/><Relationship Id="rId17" Type="http://schemas.openxmlformats.org/officeDocument/2006/relationships/hyperlink" Target="consultantplus://offline/ref=B0646EAC263D89951D3CAC704D68029D529D1518A2AF8D3078FE600D2C0B32D7F0D530DB9E3C19EE39346DE747E8B944FEFA6F34F532ECD0mE6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F4A11AE8EC2DDC1341537658096C04560E604A19047B020E21BDF02753E5FFB18E9EE40F6B75231B36C01A44s63F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F4A11AE8EC2DDC1341537658096C04560E604A19047B020E21BDF02753E5FFA38EC6E80D636B231A23964B02393DB0B6EA0D176C547205s53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6F4A11AE8EC2DDC1341537658096C0451096E411D067B020E21BDF02753E5FFA38EC6E80D636B231823964B02393DB0B6EA0D176C547205s53FG" TargetMode="External"/><Relationship Id="rId10" Type="http://schemas.openxmlformats.org/officeDocument/2006/relationships/hyperlink" Target="consultantplus://offline/ref=B6F4A11AE8EC2DDC1341537658096C04570A62451D0B7B020E21BDF02753E5FFA38EC6E80D636B271D23964B02393DB0B6EA0D176C547205s53F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3D3A5D5ADDFE531DB2CCEAABB6D41866688FFB9882771663878091B7CFF8B56676BC0AD0577DA77E38378400BF219BD509F1072213B891WD00J" TargetMode="External"/><Relationship Id="rId14" Type="http://schemas.openxmlformats.org/officeDocument/2006/relationships/hyperlink" Target="consultantplus://offline/ref=B6F4A11AE8EC2DDC1341537658096C0451096E411E0A7B020E21BDF02753E5FFA38EC6E80D636B221323964B02393DB0B6EA0D176C547205s53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8555-1A57-449D-8772-5E4B3D70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5465</Words>
  <Characters>31156</Characters>
  <Application>Microsoft Office Word</Application>
  <DocSecurity>0</DocSecurity>
  <Lines>259</Lines>
  <Paragraphs>73</Paragraphs>
  <ScaleCrop>false</ScaleCrop>
  <Company/>
  <LinksUpToDate>false</LinksUpToDate>
  <CharactersWithSpaces>36548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Майорова</dc:creator>
  <cp:keywords/>
  <dc:description/>
  <cp:lastModifiedBy>Александр  Валерьевич Скобелев</cp:lastModifiedBy>
  <cp:revision>28</cp:revision>
  <dcterms:created xsi:type="dcterms:W3CDTF">2023-11-21T05:07:00Z</dcterms:created>
  <dcterms:modified xsi:type="dcterms:W3CDTF">2024-01-09T08:05:00Z</dcterms:modified>
</cp:coreProperties>
</file>